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D5EDF9" w14:textId="276E5A55" w:rsidR="00CB7E15" w:rsidRPr="007007A3" w:rsidRDefault="007007A3">
      <w:pPr>
        <w:rPr>
          <w:rFonts w:ascii="Arial" w:hAnsi="Arial" w:cs="Arial"/>
          <w:b/>
          <w:bCs/>
          <w:sz w:val="24"/>
          <w:szCs w:val="24"/>
        </w:rPr>
      </w:pPr>
      <w:r w:rsidRPr="007007A3">
        <w:rPr>
          <w:rFonts w:ascii="Arial" w:hAnsi="Arial" w:cs="Arial"/>
          <w:b/>
          <w:bCs/>
          <w:sz w:val="24"/>
          <w:szCs w:val="24"/>
        </w:rPr>
        <w:t xml:space="preserve">Directory of </w:t>
      </w:r>
      <w:r w:rsidR="00C402E9" w:rsidRPr="007007A3">
        <w:rPr>
          <w:rFonts w:ascii="Arial" w:hAnsi="Arial" w:cs="Arial"/>
          <w:b/>
          <w:bCs/>
          <w:sz w:val="24"/>
          <w:szCs w:val="24"/>
        </w:rPr>
        <w:t xml:space="preserve">Current Papers </w:t>
      </w:r>
      <w:proofErr w:type="gramStart"/>
      <w:r w:rsidR="00C402E9" w:rsidRPr="007007A3">
        <w:rPr>
          <w:rFonts w:ascii="Arial" w:hAnsi="Arial" w:cs="Arial"/>
          <w:b/>
          <w:bCs/>
          <w:sz w:val="24"/>
          <w:szCs w:val="24"/>
        </w:rPr>
        <w:t>For</w:t>
      </w:r>
      <w:proofErr w:type="gramEnd"/>
      <w:r w:rsidR="00C402E9" w:rsidRPr="007007A3">
        <w:rPr>
          <w:rFonts w:ascii="Arial" w:hAnsi="Arial" w:cs="Arial"/>
          <w:b/>
          <w:bCs/>
          <w:sz w:val="24"/>
          <w:szCs w:val="24"/>
        </w:rPr>
        <w:t xml:space="preserve"> Downloading.</w:t>
      </w:r>
    </w:p>
    <w:p w14:paraId="1765E056" w14:textId="766AA6DC" w:rsidR="00C402E9" w:rsidRDefault="00C402E9" w:rsidP="00C402E9">
      <w:pPr>
        <w:rPr>
          <w:rFonts w:ascii="Arial" w:hAnsi="Arial" w:cs="Arial"/>
          <w:sz w:val="24"/>
          <w:szCs w:val="24"/>
        </w:rPr>
      </w:pPr>
      <w:r w:rsidRPr="00D5738E">
        <w:rPr>
          <w:rFonts w:ascii="Arial" w:hAnsi="Arial" w:cs="Arial"/>
          <w:b/>
          <w:bCs/>
          <w:color w:val="4472C4" w:themeColor="accent1"/>
          <w:sz w:val="24"/>
          <w:szCs w:val="24"/>
        </w:rPr>
        <w:t>A Minimum Standard Intervention Framework.</w:t>
      </w:r>
      <w:r w:rsidRPr="00D5738E">
        <w:rPr>
          <w:rFonts w:ascii="Arial" w:hAnsi="Arial" w:cs="Arial"/>
          <w:color w:val="4472C4" w:themeColor="accent1"/>
          <w:sz w:val="24"/>
          <w:szCs w:val="24"/>
        </w:rPr>
        <w:t xml:space="preserve"> </w:t>
      </w:r>
      <w:r w:rsidRPr="00C402E9">
        <w:rPr>
          <w:rFonts w:ascii="Arial" w:hAnsi="Arial" w:cs="Arial"/>
          <w:sz w:val="24"/>
          <w:szCs w:val="24"/>
        </w:rPr>
        <w:t>This paper proposes a structured, threshold-based framework for considering collective stabilisation and protective intervention. It does not advocate automatic military action. Rather, it presents a graduated escalation ladder, a citizen-outcome evaluation model, an incentive structure for participating states, and a safeguard architecture designed to prevent abuse.</w:t>
      </w:r>
    </w:p>
    <w:p w14:paraId="5B6C6790" w14:textId="2649D773" w:rsidR="00C402E9" w:rsidRDefault="00C402E9" w:rsidP="00C402E9">
      <w:pPr>
        <w:rPr>
          <w:rFonts w:ascii="Arial" w:hAnsi="Arial" w:cs="Arial"/>
          <w:sz w:val="24"/>
          <w:szCs w:val="24"/>
        </w:rPr>
      </w:pPr>
      <w:r w:rsidRPr="00D5738E">
        <w:rPr>
          <w:rFonts w:ascii="Arial" w:hAnsi="Arial" w:cs="Arial"/>
          <w:b/>
          <w:bCs/>
          <w:color w:val="4472C4" w:themeColor="accent1"/>
          <w:sz w:val="24"/>
          <w:szCs w:val="24"/>
        </w:rPr>
        <w:t>Advancing Into Extinction</w:t>
      </w:r>
      <w:r w:rsidRPr="00C402E9">
        <w:rPr>
          <w:rFonts w:ascii="Arial" w:hAnsi="Arial" w:cs="Arial"/>
          <w:sz w:val="24"/>
          <w:szCs w:val="24"/>
        </w:rPr>
        <w:t>.</w:t>
      </w:r>
      <w:r>
        <w:rPr>
          <w:rFonts w:ascii="Arial" w:hAnsi="Arial" w:cs="Arial"/>
          <w:sz w:val="24"/>
          <w:szCs w:val="24"/>
        </w:rPr>
        <w:t xml:space="preserve"> </w:t>
      </w:r>
      <w:r w:rsidRPr="00C402E9">
        <w:rPr>
          <w:rFonts w:ascii="Arial" w:hAnsi="Arial" w:cs="Arial"/>
          <w:sz w:val="24"/>
          <w:szCs w:val="24"/>
        </w:rPr>
        <w:t xml:space="preserve">The 21st century is defined by a singular paradox: humanity has utilised unprecedented technological and economic growth to solve the problems of "scarcity," only to find that the solution has created an existential "fragility."  </w:t>
      </w:r>
    </w:p>
    <w:p w14:paraId="67E7FA73" w14:textId="600729B2" w:rsidR="00C402E9" w:rsidRDefault="00C402E9" w:rsidP="00C402E9">
      <w:pPr>
        <w:rPr>
          <w:rFonts w:ascii="Arial" w:hAnsi="Arial" w:cs="Arial"/>
          <w:sz w:val="24"/>
          <w:szCs w:val="24"/>
        </w:rPr>
      </w:pPr>
      <w:r w:rsidRPr="00D5738E">
        <w:rPr>
          <w:rFonts w:ascii="Arial" w:hAnsi="Arial" w:cs="Arial"/>
          <w:b/>
          <w:bCs/>
          <w:color w:val="4472C4" w:themeColor="accent1"/>
          <w:sz w:val="24"/>
          <w:szCs w:val="24"/>
        </w:rPr>
        <w:t>AI in Public Administration</w:t>
      </w:r>
      <w:r w:rsidRPr="00D5738E">
        <w:rPr>
          <w:rFonts w:ascii="Arial" w:hAnsi="Arial" w:cs="Arial"/>
          <w:color w:val="4472C4" w:themeColor="accent1"/>
          <w:sz w:val="24"/>
          <w:szCs w:val="24"/>
        </w:rPr>
        <w:t xml:space="preserve">. </w:t>
      </w:r>
      <w:r w:rsidRPr="00C402E9">
        <w:rPr>
          <w:rFonts w:ascii="Arial" w:hAnsi="Arial" w:cs="Arial"/>
          <w:sz w:val="24"/>
          <w:szCs w:val="24"/>
        </w:rPr>
        <w:t>Artificial Intelligence (AI) tools now offer the government the opportunity to improve administrative efficiency, analytical capacity, and process speed at relatively low marginal cost. Properly framed and governed, AI should be positioned not as a replacement for civil servants, but as an assistive tool for routine and early-stage work. This reduces perceived threat, preserves democratic accountability, and aligns with constitutional principles that require human judgment and ministerial responsibility in decision-making.</w:t>
      </w:r>
    </w:p>
    <w:p w14:paraId="1CDF3E8E" w14:textId="37AFC2DE" w:rsidR="00C402E9" w:rsidRDefault="00C402E9" w:rsidP="00C402E9">
      <w:pPr>
        <w:rPr>
          <w:rFonts w:ascii="Arial" w:hAnsi="Arial" w:cs="Arial"/>
          <w:sz w:val="24"/>
          <w:szCs w:val="24"/>
        </w:rPr>
      </w:pPr>
      <w:r w:rsidRPr="00D5738E">
        <w:rPr>
          <w:rFonts w:ascii="Arial" w:hAnsi="Arial" w:cs="Arial"/>
          <w:b/>
          <w:bCs/>
          <w:color w:val="4472C4" w:themeColor="accent1"/>
          <w:sz w:val="24"/>
          <w:szCs w:val="24"/>
        </w:rPr>
        <w:t>Analysing Common Law Constitutionalism: The Case Against the Pension Tax Loop."</w:t>
      </w:r>
      <w:r w:rsidRPr="00D5738E">
        <w:rPr>
          <w:rFonts w:ascii="Arial" w:hAnsi="Arial" w:cs="Arial"/>
          <w:color w:val="4472C4" w:themeColor="accent1"/>
          <w:sz w:val="24"/>
          <w:szCs w:val="24"/>
        </w:rPr>
        <w:t xml:space="preserve"> </w:t>
      </w:r>
      <w:r>
        <w:rPr>
          <w:rFonts w:ascii="Arial" w:hAnsi="Arial" w:cs="Arial"/>
          <w:sz w:val="24"/>
          <w:szCs w:val="24"/>
        </w:rPr>
        <w:t>A deep and thoughtful look at how the executive has eroded the state pension by stealth.</w:t>
      </w:r>
    </w:p>
    <w:p w14:paraId="091E2CA9" w14:textId="103C6AD8" w:rsidR="00C402E9" w:rsidRDefault="00C402E9" w:rsidP="00C402E9">
      <w:pPr>
        <w:rPr>
          <w:rFonts w:ascii="Arial" w:hAnsi="Arial" w:cs="Arial"/>
          <w:sz w:val="24"/>
          <w:szCs w:val="24"/>
        </w:rPr>
      </w:pPr>
      <w:r w:rsidRPr="00D5738E">
        <w:rPr>
          <w:rFonts w:ascii="Arial" w:hAnsi="Arial" w:cs="Arial"/>
          <w:b/>
          <w:bCs/>
          <w:color w:val="4472C4" w:themeColor="accent1"/>
          <w:sz w:val="24"/>
          <w:szCs w:val="24"/>
        </w:rPr>
        <w:t>Animal Welfare at Slaughter.</w:t>
      </w:r>
      <w:r w:rsidRPr="00D5738E">
        <w:rPr>
          <w:rFonts w:ascii="Arial" w:hAnsi="Arial" w:cs="Arial"/>
          <w:color w:val="4472C4" w:themeColor="accent1"/>
          <w:sz w:val="24"/>
          <w:szCs w:val="24"/>
        </w:rPr>
        <w:t xml:space="preserve"> </w:t>
      </w:r>
      <w:r w:rsidRPr="00C402E9">
        <w:rPr>
          <w:rFonts w:ascii="Arial" w:hAnsi="Arial" w:cs="Arial"/>
          <w:sz w:val="24"/>
          <w:szCs w:val="24"/>
        </w:rPr>
        <w:t>The Government’s proposed Animal Welfare Strategy 2025 states that animals should be spared avoidable pain, suffering and distress when they are killed. However, the strategy does not explicitly address slaughter without prior stunning despite the continuing statutory religious exemption.</w:t>
      </w:r>
    </w:p>
    <w:p w14:paraId="191B2FDC" w14:textId="0829A666" w:rsidR="00C402E9" w:rsidRDefault="00FF18D4" w:rsidP="00C402E9">
      <w:pPr>
        <w:rPr>
          <w:rFonts w:ascii="Arial" w:hAnsi="Arial" w:cs="Arial"/>
          <w:sz w:val="24"/>
          <w:szCs w:val="24"/>
        </w:rPr>
      </w:pPr>
      <w:r w:rsidRPr="00D5738E">
        <w:rPr>
          <w:rFonts w:ascii="Arial" w:hAnsi="Arial" w:cs="Arial"/>
          <w:b/>
          <w:bCs/>
          <w:color w:val="4472C4" w:themeColor="accent1"/>
          <w:sz w:val="24"/>
          <w:szCs w:val="24"/>
        </w:rPr>
        <w:t>Beyond Energy, The</w:t>
      </w:r>
      <w:r w:rsidR="00C402E9" w:rsidRPr="00D5738E">
        <w:rPr>
          <w:rFonts w:ascii="Arial" w:hAnsi="Arial" w:cs="Arial"/>
          <w:b/>
          <w:bCs/>
          <w:color w:val="4472C4" w:themeColor="accent1"/>
          <w:sz w:val="24"/>
          <w:szCs w:val="24"/>
        </w:rPr>
        <w:t xml:space="preserve"> Path to Net Zero.</w:t>
      </w:r>
      <w:r w:rsidR="00C402E9" w:rsidRPr="00D5738E">
        <w:rPr>
          <w:rFonts w:ascii="Arial" w:hAnsi="Arial" w:cs="Arial"/>
          <w:color w:val="4472C4" w:themeColor="accent1"/>
          <w:sz w:val="24"/>
          <w:szCs w:val="24"/>
        </w:rPr>
        <w:t xml:space="preserve"> </w:t>
      </w:r>
      <w:r w:rsidR="00C402E9" w:rsidRPr="00C402E9">
        <w:rPr>
          <w:rFonts w:ascii="Arial" w:hAnsi="Arial" w:cs="Arial"/>
          <w:sz w:val="24"/>
          <w:szCs w:val="24"/>
        </w:rPr>
        <w:t xml:space="preserve">As we hurtle towards </w:t>
      </w:r>
      <w:r w:rsidR="00C402E9">
        <w:rPr>
          <w:rFonts w:ascii="Arial" w:hAnsi="Arial" w:cs="Arial"/>
          <w:sz w:val="24"/>
          <w:szCs w:val="24"/>
        </w:rPr>
        <w:t>net-zero</w:t>
      </w:r>
      <w:r w:rsidR="00C402E9" w:rsidRPr="00C402E9">
        <w:rPr>
          <w:rFonts w:ascii="Arial" w:hAnsi="Arial" w:cs="Arial"/>
          <w:sz w:val="24"/>
          <w:szCs w:val="24"/>
        </w:rPr>
        <w:t xml:space="preserve"> </w:t>
      </w:r>
      <w:r w:rsidR="00C402E9">
        <w:rPr>
          <w:rFonts w:ascii="Arial" w:hAnsi="Arial" w:cs="Arial"/>
          <w:sz w:val="24"/>
          <w:szCs w:val="24"/>
        </w:rPr>
        <w:t>through the uptake of electric vehicles and clean energy, should we be concerned about running out of rare-earth</w:t>
      </w:r>
      <w:r w:rsidR="00C402E9" w:rsidRPr="00C402E9">
        <w:rPr>
          <w:rFonts w:ascii="Arial" w:hAnsi="Arial" w:cs="Arial"/>
          <w:sz w:val="24"/>
          <w:szCs w:val="24"/>
        </w:rPr>
        <w:t xml:space="preserve"> minerals?</w:t>
      </w:r>
    </w:p>
    <w:p w14:paraId="1FC10063" w14:textId="3DCEBDEC" w:rsidR="00FF18D4" w:rsidRDefault="00FF18D4" w:rsidP="00C402E9">
      <w:pPr>
        <w:rPr>
          <w:rFonts w:ascii="Arial" w:hAnsi="Arial" w:cs="Arial"/>
          <w:sz w:val="24"/>
          <w:szCs w:val="24"/>
        </w:rPr>
      </w:pPr>
      <w:r w:rsidRPr="00D5738E">
        <w:rPr>
          <w:rFonts w:ascii="Arial" w:hAnsi="Arial" w:cs="Arial"/>
          <w:b/>
          <w:bCs/>
          <w:color w:val="4472C4" w:themeColor="accent1"/>
          <w:sz w:val="24"/>
          <w:szCs w:val="24"/>
        </w:rPr>
        <w:t>Candour, Crisis, and Control</w:t>
      </w:r>
      <w:r>
        <w:rPr>
          <w:rFonts w:ascii="Arial" w:hAnsi="Arial" w:cs="Arial"/>
          <w:sz w:val="24"/>
          <w:szCs w:val="24"/>
        </w:rPr>
        <w:t xml:space="preserve">. </w:t>
      </w:r>
      <w:r w:rsidRPr="00FF18D4">
        <w:rPr>
          <w:rFonts w:ascii="Arial" w:hAnsi="Arial" w:cs="Arial"/>
          <w:sz w:val="24"/>
          <w:szCs w:val="24"/>
        </w:rPr>
        <w:t>Early, clear, and proportionate candour is the lowest-risk strategy in public leadership. Delay or ambiguity materially increases the likelihood of crisis escalation.</w:t>
      </w:r>
    </w:p>
    <w:p w14:paraId="4EDA6284" w14:textId="6953B938" w:rsidR="00FF18D4" w:rsidRDefault="00FF18D4" w:rsidP="00C402E9">
      <w:pPr>
        <w:rPr>
          <w:rFonts w:ascii="Arial" w:hAnsi="Arial" w:cs="Arial"/>
          <w:sz w:val="24"/>
          <w:szCs w:val="24"/>
        </w:rPr>
      </w:pPr>
      <w:r w:rsidRPr="00D5738E">
        <w:rPr>
          <w:rFonts w:ascii="Arial" w:hAnsi="Arial" w:cs="Arial"/>
          <w:b/>
          <w:bCs/>
          <w:color w:val="4472C4" w:themeColor="accent1"/>
          <w:sz w:val="24"/>
          <w:szCs w:val="24"/>
        </w:rPr>
        <w:t>Chagos Islands</w:t>
      </w:r>
      <w:r w:rsidRPr="00D5738E">
        <w:rPr>
          <w:rFonts w:ascii="Arial" w:hAnsi="Arial" w:cs="Arial"/>
          <w:color w:val="4472C4" w:themeColor="accent1"/>
          <w:sz w:val="24"/>
          <w:szCs w:val="24"/>
        </w:rPr>
        <w:t xml:space="preserve">. </w:t>
      </w:r>
      <w:r w:rsidRPr="00FF18D4">
        <w:rPr>
          <w:rFonts w:ascii="Arial" w:hAnsi="Arial" w:cs="Arial"/>
          <w:sz w:val="24"/>
          <w:szCs w:val="24"/>
        </w:rPr>
        <w:t>Cost Discrepancies and Democratic Legitimacy</w:t>
      </w:r>
      <w:r>
        <w:rPr>
          <w:rFonts w:ascii="Arial" w:hAnsi="Arial" w:cs="Arial"/>
          <w:sz w:val="24"/>
          <w:szCs w:val="24"/>
        </w:rPr>
        <w:t>.</w:t>
      </w:r>
    </w:p>
    <w:p w14:paraId="25729FAB" w14:textId="2208D829" w:rsidR="00FF18D4" w:rsidRDefault="00FF18D4" w:rsidP="00C402E9">
      <w:pPr>
        <w:rPr>
          <w:rFonts w:ascii="Arial" w:hAnsi="Arial" w:cs="Arial"/>
          <w:sz w:val="24"/>
          <w:szCs w:val="24"/>
        </w:rPr>
      </w:pPr>
      <w:r w:rsidRPr="00D5738E">
        <w:rPr>
          <w:rFonts w:ascii="Arial" w:hAnsi="Arial" w:cs="Arial"/>
          <w:b/>
          <w:bCs/>
          <w:color w:val="4472C4" w:themeColor="accent1"/>
          <w:sz w:val="24"/>
          <w:szCs w:val="24"/>
        </w:rPr>
        <w:t>Child Benefits Spending</w:t>
      </w:r>
      <w:r w:rsidRPr="00D5738E">
        <w:rPr>
          <w:rFonts w:ascii="Arial" w:hAnsi="Arial" w:cs="Arial"/>
          <w:color w:val="4472C4" w:themeColor="accent1"/>
          <w:sz w:val="24"/>
          <w:szCs w:val="24"/>
        </w:rPr>
        <w:t xml:space="preserve">. </w:t>
      </w:r>
      <w:r w:rsidRPr="00FF18D4">
        <w:rPr>
          <w:rFonts w:ascii="Arial" w:hAnsi="Arial" w:cs="Arial"/>
          <w:sz w:val="24"/>
          <w:szCs w:val="24"/>
        </w:rPr>
        <w:t>This paper provides a neutral, evidence-led review of the UK two-child benefit cap. It summarises the policy background, fiscal implications, and areas of agreement and dispute, without advocating for a particular outcome.</w:t>
      </w:r>
    </w:p>
    <w:p w14:paraId="2689B162" w14:textId="03B95501" w:rsidR="00FF18D4" w:rsidRDefault="00FF18D4" w:rsidP="00FF18D4">
      <w:pPr>
        <w:rPr>
          <w:rFonts w:ascii="Arial" w:hAnsi="Arial" w:cs="Arial"/>
          <w:sz w:val="24"/>
          <w:szCs w:val="24"/>
        </w:rPr>
      </w:pPr>
      <w:r w:rsidRPr="00D5738E">
        <w:rPr>
          <w:rFonts w:ascii="Arial" w:hAnsi="Arial" w:cs="Arial"/>
          <w:b/>
          <w:bCs/>
          <w:color w:val="4472C4" w:themeColor="accent1"/>
          <w:sz w:val="24"/>
          <w:szCs w:val="24"/>
        </w:rPr>
        <w:t>Child Online Safety.</w:t>
      </w:r>
      <w:r w:rsidRPr="00D5738E">
        <w:rPr>
          <w:rFonts w:ascii="Arial" w:hAnsi="Arial" w:cs="Arial"/>
          <w:color w:val="4472C4" w:themeColor="accent1"/>
          <w:sz w:val="24"/>
          <w:szCs w:val="24"/>
        </w:rPr>
        <w:t xml:space="preserve"> </w:t>
      </w:r>
      <w:r w:rsidRPr="00FF18D4">
        <w:rPr>
          <w:rFonts w:ascii="Arial" w:hAnsi="Arial" w:cs="Arial"/>
          <w:sz w:val="24"/>
          <w:szCs w:val="24"/>
        </w:rPr>
        <w:t xml:space="preserve">An Evidence and Voices Briefing, drawing on published UK research and anonymised service data, foregrounding young people’s own descriptions of online </w:t>
      </w:r>
      <w:proofErr w:type="gramStart"/>
      <w:r w:rsidRPr="00FF18D4">
        <w:rPr>
          <w:rFonts w:ascii="Arial" w:hAnsi="Arial" w:cs="Arial"/>
          <w:sz w:val="24"/>
          <w:szCs w:val="24"/>
        </w:rPr>
        <w:t>harm;  An</w:t>
      </w:r>
      <w:proofErr w:type="gramEnd"/>
      <w:r w:rsidRPr="00FF18D4">
        <w:rPr>
          <w:rFonts w:ascii="Arial" w:hAnsi="Arial" w:cs="Arial"/>
          <w:sz w:val="24"/>
          <w:szCs w:val="24"/>
        </w:rPr>
        <w:t xml:space="preserve"> Implementation Gap Note, identifying predictable points where protections fail in practice due to circumvention, cumulative harm, or enforcement </w:t>
      </w:r>
      <w:proofErr w:type="gramStart"/>
      <w:r w:rsidRPr="00FF18D4">
        <w:rPr>
          <w:rFonts w:ascii="Arial" w:hAnsi="Arial" w:cs="Arial"/>
          <w:sz w:val="24"/>
          <w:szCs w:val="24"/>
        </w:rPr>
        <w:t>constraints;  An</w:t>
      </w:r>
      <w:proofErr w:type="gramEnd"/>
      <w:r w:rsidRPr="00FF18D4">
        <w:rPr>
          <w:rFonts w:ascii="Arial" w:hAnsi="Arial" w:cs="Arial"/>
          <w:sz w:val="24"/>
          <w:szCs w:val="24"/>
        </w:rPr>
        <w:t xml:space="preserve"> optional set of draft parliamentary questions and ministerial prompts, should these be useful in committee or chamber settings.  </w:t>
      </w:r>
    </w:p>
    <w:p w14:paraId="02EAF4ED" w14:textId="66A0DF57" w:rsidR="00FF18D4" w:rsidRDefault="00FF18D4" w:rsidP="00FF18D4">
      <w:pPr>
        <w:rPr>
          <w:rFonts w:ascii="Arial" w:hAnsi="Arial" w:cs="Arial"/>
          <w:sz w:val="24"/>
          <w:szCs w:val="24"/>
        </w:rPr>
      </w:pPr>
      <w:r w:rsidRPr="00D5738E">
        <w:rPr>
          <w:rFonts w:ascii="Arial" w:hAnsi="Arial" w:cs="Arial"/>
          <w:b/>
          <w:bCs/>
          <w:color w:val="4472C4" w:themeColor="accent1"/>
          <w:sz w:val="24"/>
          <w:szCs w:val="24"/>
        </w:rPr>
        <w:lastRenderedPageBreak/>
        <w:t>Children plus Interculturalism</w:t>
      </w:r>
      <w:r>
        <w:rPr>
          <w:rFonts w:ascii="Arial" w:hAnsi="Arial" w:cs="Arial"/>
          <w:sz w:val="24"/>
          <w:szCs w:val="24"/>
        </w:rPr>
        <w:t xml:space="preserve">. </w:t>
      </w:r>
      <w:r w:rsidRPr="00FF18D4">
        <w:rPr>
          <w:rFonts w:ascii="Arial" w:hAnsi="Arial" w:cs="Arial"/>
          <w:sz w:val="24"/>
          <w:szCs w:val="24"/>
        </w:rPr>
        <w:t>Imagine Britain is being transformed from a collection of parallel communities where each ‘tolerates’ the other out of necessity. Moving towards a single nation where the public square is shared, and the rules of engagement are clear. Where the principal catalysts for change are our children, both indigenous and “other”. This policy moves beyond the "insult" of tolerance (the I don’t like you, but I am told that I must pretend to), it acknowledges our 400-year history while establishing a strict, factual, and merit-based path for the next 400.</w:t>
      </w:r>
    </w:p>
    <w:p w14:paraId="12C0B333" w14:textId="77777777" w:rsidR="00FF18D4" w:rsidRPr="00FF18D4" w:rsidRDefault="00FF18D4" w:rsidP="00FF18D4">
      <w:pPr>
        <w:rPr>
          <w:rFonts w:ascii="Arial" w:hAnsi="Arial" w:cs="Arial"/>
          <w:sz w:val="24"/>
          <w:szCs w:val="24"/>
        </w:rPr>
      </w:pPr>
      <w:r w:rsidRPr="00D5738E">
        <w:rPr>
          <w:rFonts w:ascii="Arial" w:hAnsi="Arial" w:cs="Arial"/>
          <w:b/>
          <w:bCs/>
          <w:color w:val="4472C4" w:themeColor="accent1"/>
          <w:sz w:val="24"/>
          <w:szCs w:val="24"/>
        </w:rPr>
        <w:t>Could Parliamentary Time be Better Organised?</w:t>
      </w:r>
      <w:r w:rsidRPr="00D5738E">
        <w:rPr>
          <w:rFonts w:ascii="Arial" w:hAnsi="Arial" w:cs="Arial"/>
          <w:color w:val="4472C4" w:themeColor="accent1"/>
          <w:sz w:val="24"/>
          <w:szCs w:val="24"/>
        </w:rPr>
        <w:t xml:space="preserve"> </w:t>
      </w:r>
      <w:r w:rsidRPr="00FF18D4">
        <w:rPr>
          <w:rFonts w:ascii="Arial" w:hAnsi="Arial" w:cs="Arial"/>
          <w:sz w:val="24"/>
          <w:szCs w:val="24"/>
        </w:rPr>
        <w:t xml:space="preserve">This briefing proposes a formalised “Core Parliamentary Week”, aligning official scheduling with operational reality. The objective is to improve: </w:t>
      </w:r>
    </w:p>
    <w:p w14:paraId="05A76BD2" w14:textId="77777777" w:rsidR="00FF18D4" w:rsidRPr="00FF18D4" w:rsidRDefault="00FF18D4" w:rsidP="00FF18D4">
      <w:pPr>
        <w:rPr>
          <w:rFonts w:ascii="Arial" w:hAnsi="Arial" w:cs="Arial"/>
          <w:sz w:val="24"/>
          <w:szCs w:val="24"/>
        </w:rPr>
      </w:pPr>
      <w:r w:rsidRPr="00FF18D4">
        <w:rPr>
          <w:rFonts w:ascii="Arial" w:hAnsi="Arial" w:cs="Arial"/>
          <w:sz w:val="24"/>
          <w:szCs w:val="24"/>
        </w:rPr>
        <w:t>•</w:t>
      </w:r>
      <w:r w:rsidRPr="00FF18D4">
        <w:rPr>
          <w:rFonts w:ascii="Arial" w:hAnsi="Arial" w:cs="Arial"/>
          <w:sz w:val="24"/>
          <w:szCs w:val="24"/>
        </w:rPr>
        <w:tab/>
        <w:t xml:space="preserve">Attendance during key debates </w:t>
      </w:r>
    </w:p>
    <w:p w14:paraId="02E004ED" w14:textId="77777777" w:rsidR="00FF18D4" w:rsidRPr="00FF18D4" w:rsidRDefault="00FF18D4" w:rsidP="00FF18D4">
      <w:pPr>
        <w:rPr>
          <w:rFonts w:ascii="Arial" w:hAnsi="Arial" w:cs="Arial"/>
          <w:sz w:val="24"/>
          <w:szCs w:val="24"/>
        </w:rPr>
      </w:pPr>
      <w:r w:rsidRPr="00FF18D4">
        <w:rPr>
          <w:rFonts w:ascii="Arial" w:hAnsi="Arial" w:cs="Arial"/>
          <w:sz w:val="24"/>
          <w:szCs w:val="24"/>
        </w:rPr>
        <w:t>•</w:t>
      </w:r>
      <w:r w:rsidRPr="00FF18D4">
        <w:rPr>
          <w:rFonts w:ascii="Arial" w:hAnsi="Arial" w:cs="Arial"/>
          <w:sz w:val="24"/>
          <w:szCs w:val="24"/>
        </w:rPr>
        <w:tab/>
        <w:t xml:space="preserve">Quality of scrutiny and engagement </w:t>
      </w:r>
    </w:p>
    <w:p w14:paraId="67299CF6" w14:textId="77777777" w:rsidR="00FF18D4" w:rsidRPr="00FF18D4" w:rsidRDefault="00FF18D4" w:rsidP="00FF18D4">
      <w:pPr>
        <w:rPr>
          <w:rFonts w:ascii="Arial" w:hAnsi="Arial" w:cs="Arial"/>
          <w:sz w:val="24"/>
          <w:szCs w:val="24"/>
        </w:rPr>
      </w:pPr>
      <w:r w:rsidRPr="00FF18D4">
        <w:rPr>
          <w:rFonts w:ascii="Arial" w:hAnsi="Arial" w:cs="Arial"/>
          <w:sz w:val="24"/>
          <w:szCs w:val="24"/>
        </w:rPr>
        <w:t>•</w:t>
      </w:r>
      <w:r w:rsidRPr="00FF18D4">
        <w:rPr>
          <w:rFonts w:ascii="Arial" w:hAnsi="Arial" w:cs="Arial"/>
          <w:sz w:val="24"/>
          <w:szCs w:val="24"/>
        </w:rPr>
        <w:tab/>
        <w:t xml:space="preserve">Public confidence in the parliamentary process </w:t>
      </w:r>
    </w:p>
    <w:p w14:paraId="073A5D4B" w14:textId="4277714C" w:rsidR="00FF18D4" w:rsidRDefault="00FF18D4" w:rsidP="00FF18D4">
      <w:pPr>
        <w:rPr>
          <w:rFonts w:ascii="Arial" w:hAnsi="Arial" w:cs="Arial"/>
          <w:sz w:val="24"/>
          <w:szCs w:val="24"/>
        </w:rPr>
      </w:pPr>
      <w:r w:rsidRPr="00FF18D4">
        <w:rPr>
          <w:rFonts w:ascii="Arial" w:hAnsi="Arial" w:cs="Arial"/>
          <w:sz w:val="24"/>
          <w:szCs w:val="24"/>
        </w:rPr>
        <w:t>The proposal is procedural, not constitutional, and therefore achievable without structural reform of Parliament itself.</w:t>
      </w:r>
    </w:p>
    <w:p w14:paraId="3682CE3B" w14:textId="5155F4C1" w:rsidR="00FF18D4" w:rsidRDefault="00FF18D4" w:rsidP="00FF18D4">
      <w:pPr>
        <w:rPr>
          <w:rFonts w:ascii="Arial" w:hAnsi="Arial" w:cs="Arial"/>
          <w:sz w:val="24"/>
          <w:szCs w:val="24"/>
        </w:rPr>
      </w:pPr>
      <w:r w:rsidRPr="00D5738E">
        <w:rPr>
          <w:rFonts w:ascii="Arial" w:hAnsi="Arial" w:cs="Arial"/>
          <w:b/>
          <w:bCs/>
          <w:color w:val="4472C4" w:themeColor="accent1"/>
          <w:sz w:val="24"/>
          <w:szCs w:val="24"/>
        </w:rPr>
        <w:t>Democratic Consent in Public Spending.</w:t>
      </w:r>
      <w:r w:rsidRPr="00D5738E">
        <w:rPr>
          <w:rFonts w:ascii="Arial" w:hAnsi="Arial" w:cs="Arial"/>
          <w:color w:val="4472C4" w:themeColor="accent1"/>
          <w:sz w:val="24"/>
          <w:szCs w:val="24"/>
        </w:rPr>
        <w:t xml:space="preserve"> </w:t>
      </w:r>
      <w:r w:rsidRPr="00FF18D4">
        <w:rPr>
          <w:rFonts w:ascii="Arial" w:hAnsi="Arial" w:cs="Arial"/>
          <w:sz w:val="24"/>
          <w:szCs w:val="24"/>
        </w:rPr>
        <w:t>This paper examines the growing tension between public consent and discretionary state expenditure at a time of domestic economic pressure. It focuses in particular on overseas aid, migration-related costs, and wider international commitments, not as isolated policy areas but as they are experienced cumulatively by taxpayers.</w:t>
      </w:r>
    </w:p>
    <w:p w14:paraId="0B1F9D19" w14:textId="3EEC082D" w:rsidR="00FF18D4" w:rsidRDefault="00FF18D4" w:rsidP="00FF18D4">
      <w:pPr>
        <w:rPr>
          <w:rFonts w:ascii="Arial" w:hAnsi="Arial" w:cs="Arial"/>
          <w:sz w:val="24"/>
          <w:szCs w:val="24"/>
        </w:rPr>
      </w:pPr>
      <w:r w:rsidRPr="00D5738E">
        <w:rPr>
          <w:rFonts w:ascii="Arial" w:hAnsi="Arial" w:cs="Arial"/>
          <w:b/>
          <w:bCs/>
          <w:color w:val="4472C4" w:themeColor="accent1"/>
          <w:sz w:val="24"/>
          <w:szCs w:val="24"/>
        </w:rPr>
        <w:t>Early AVR Policy Documents</w:t>
      </w:r>
      <w:r w:rsidRPr="00D5738E">
        <w:rPr>
          <w:rFonts w:ascii="Arial" w:hAnsi="Arial" w:cs="Arial"/>
          <w:color w:val="4472C4" w:themeColor="accent1"/>
          <w:sz w:val="24"/>
          <w:szCs w:val="24"/>
        </w:rPr>
        <w:t xml:space="preserve">. </w:t>
      </w:r>
      <w:r w:rsidRPr="00FF18D4">
        <w:rPr>
          <w:rFonts w:ascii="Arial" w:hAnsi="Arial" w:cs="Arial"/>
          <w:sz w:val="24"/>
          <w:szCs w:val="24"/>
        </w:rPr>
        <w:t>To assess whether making an early assisted voluntary return (AVR) offer, combined with transparent net-income/living-cost information, could reduce public spending while preserving protections for those with genuine need.</w:t>
      </w:r>
    </w:p>
    <w:p w14:paraId="75B22A92" w14:textId="77777777" w:rsidR="00FF18D4" w:rsidRPr="00FF18D4" w:rsidRDefault="00FF18D4" w:rsidP="00FF18D4">
      <w:pPr>
        <w:rPr>
          <w:rFonts w:ascii="Arial" w:hAnsi="Arial" w:cs="Arial"/>
          <w:sz w:val="24"/>
          <w:szCs w:val="24"/>
        </w:rPr>
      </w:pPr>
      <w:r w:rsidRPr="00D5738E">
        <w:rPr>
          <w:rFonts w:ascii="Arial" w:hAnsi="Arial" w:cs="Arial"/>
          <w:b/>
          <w:bCs/>
          <w:color w:val="4472C4" w:themeColor="accent1"/>
          <w:sz w:val="24"/>
          <w:szCs w:val="24"/>
        </w:rPr>
        <w:t>Electoral Integrity.</w:t>
      </w:r>
      <w:r w:rsidRPr="00D5738E">
        <w:rPr>
          <w:rFonts w:ascii="Arial" w:hAnsi="Arial" w:cs="Arial"/>
          <w:color w:val="4472C4" w:themeColor="accent1"/>
          <w:sz w:val="24"/>
          <w:szCs w:val="24"/>
        </w:rPr>
        <w:t xml:space="preserve"> </w:t>
      </w:r>
      <w:r w:rsidRPr="00FF18D4">
        <w:rPr>
          <w:rFonts w:ascii="Arial" w:hAnsi="Arial" w:cs="Arial"/>
          <w:sz w:val="24"/>
          <w:szCs w:val="24"/>
        </w:rPr>
        <w:t xml:space="preserve">This briefing identifies a widening "mismatch" between the UK’s primary national security threats and the current government policy focus. While 2026 intelligence data confirms that radical Islamism remains the predominant lethal threat, the Home Office and the College of Policing have been disproportionately focused on rhetorical "hate incidents." This ‘focus of attention’ appears to be not only supported by the Government, but actively encouraged. </w:t>
      </w:r>
    </w:p>
    <w:p w14:paraId="79C8F0F2" w14:textId="4F181694" w:rsidR="00FF18D4" w:rsidRDefault="00FF18D4" w:rsidP="00FF18D4">
      <w:pPr>
        <w:rPr>
          <w:rFonts w:ascii="Arial" w:hAnsi="Arial" w:cs="Arial"/>
          <w:sz w:val="24"/>
          <w:szCs w:val="24"/>
        </w:rPr>
      </w:pPr>
      <w:r w:rsidRPr="00FF18D4">
        <w:rPr>
          <w:rFonts w:ascii="Arial" w:hAnsi="Arial" w:cs="Arial"/>
          <w:sz w:val="24"/>
          <w:szCs w:val="24"/>
        </w:rPr>
        <w:t>Following a landmark by-election defeat in February 2026, evidence suggests that the government is increasingly utilising identity-focused legislation to shore up electoral heartlands, potentially at the expense of national security and democratic integrity.</w:t>
      </w:r>
    </w:p>
    <w:p w14:paraId="09AF43BE" w14:textId="77777777" w:rsidR="0048485D" w:rsidRPr="0048485D" w:rsidRDefault="0048485D" w:rsidP="0048485D">
      <w:pPr>
        <w:rPr>
          <w:rFonts w:ascii="Arial" w:hAnsi="Arial" w:cs="Arial"/>
          <w:sz w:val="24"/>
          <w:szCs w:val="24"/>
        </w:rPr>
      </w:pPr>
      <w:r w:rsidRPr="00D5738E">
        <w:rPr>
          <w:rFonts w:ascii="Arial" w:hAnsi="Arial" w:cs="Arial"/>
          <w:b/>
          <w:bCs/>
          <w:color w:val="4472C4" w:themeColor="accent1"/>
          <w:sz w:val="24"/>
          <w:szCs w:val="24"/>
        </w:rPr>
        <w:t>Energy Policy and Democratic Consent.</w:t>
      </w:r>
      <w:r w:rsidRPr="00D5738E">
        <w:rPr>
          <w:rFonts w:ascii="Arial" w:hAnsi="Arial" w:cs="Arial"/>
          <w:color w:val="4472C4" w:themeColor="accent1"/>
          <w:sz w:val="24"/>
          <w:szCs w:val="24"/>
        </w:rPr>
        <w:t xml:space="preserve"> </w:t>
      </w:r>
      <w:r w:rsidRPr="0048485D">
        <w:rPr>
          <w:rFonts w:ascii="Arial" w:hAnsi="Arial" w:cs="Arial"/>
          <w:sz w:val="24"/>
          <w:szCs w:val="24"/>
        </w:rPr>
        <w:t xml:space="preserve">This briefing has been prepared to support informed discussion on the delivery of the UK’s energy transition objectives. It does not challenge the strategic goal of net zero, but examines the methods by which that goal is pursued, with particular focus on economic sustainability, democratic legitimacy, and policy durability. </w:t>
      </w:r>
    </w:p>
    <w:p w14:paraId="7698D6C5" w14:textId="23C69350" w:rsidR="00FF18D4" w:rsidRDefault="0048485D" w:rsidP="0048485D">
      <w:pPr>
        <w:rPr>
          <w:rFonts w:ascii="Arial" w:hAnsi="Arial" w:cs="Arial"/>
          <w:sz w:val="24"/>
          <w:szCs w:val="24"/>
        </w:rPr>
      </w:pPr>
      <w:r w:rsidRPr="0048485D">
        <w:rPr>
          <w:rFonts w:ascii="Arial" w:hAnsi="Arial" w:cs="Arial"/>
          <w:sz w:val="24"/>
          <w:szCs w:val="24"/>
        </w:rPr>
        <w:lastRenderedPageBreak/>
        <w:t>The paper highlights the growing importance of maintaining alignment between public mandate and policy delivery, and proposes a set of practical safeguards to ensure long-term success.</w:t>
      </w:r>
    </w:p>
    <w:p w14:paraId="35A1269B" w14:textId="77777777" w:rsidR="0048485D" w:rsidRPr="0048485D" w:rsidRDefault="0048485D" w:rsidP="0048485D">
      <w:pPr>
        <w:rPr>
          <w:rFonts w:ascii="Arial" w:hAnsi="Arial" w:cs="Arial"/>
          <w:sz w:val="24"/>
          <w:szCs w:val="24"/>
        </w:rPr>
      </w:pPr>
      <w:r w:rsidRPr="00D5738E">
        <w:rPr>
          <w:rFonts w:ascii="Arial" w:hAnsi="Arial" w:cs="Arial"/>
          <w:b/>
          <w:bCs/>
          <w:color w:val="4472C4" w:themeColor="accent1"/>
          <w:sz w:val="24"/>
          <w:szCs w:val="24"/>
        </w:rPr>
        <w:t>EV Reality Check.</w:t>
      </w:r>
      <w:r w:rsidRPr="00D5738E">
        <w:rPr>
          <w:rFonts w:ascii="Arial" w:hAnsi="Arial" w:cs="Arial"/>
          <w:color w:val="4472C4" w:themeColor="accent1"/>
          <w:sz w:val="24"/>
          <w:szCs w:val="24"/>
        </w:rPr>
        <w:t xml:space="preserve"> </w:t>
      </w:r>
      <w:r w:rsidRPr="0048485D">
        <w:rPr>
          <w:rFonts w:ascii="Arial" w:hAnsi="Arial" w:cs="Arial"/>
          <w:sz w:val="24"/>
          <w:szCs w:val="24"/>
        </w:rPr>
        <w:t xml:space="preserve">This paper does not argue against electrification as a long-term pathway. Instead, it proposes that policy effectiveness and public trust would improve if the government: </w:t>
      </w:r>
    </w:p>
    <w:p w14:paraId="0252CE25" w14:textId="77777777" w:rsidR="0048485D" w:rsidRPr="0048485D" w:rsidRDefault="0048485D" w:rsidP="0048485D">
      <w:pPr>
        <w:rPr>
          <w:rFonts w:ascii="Arial" w:hAnsi="Arial" w:cs="Arial"/>
          <w:sz w:val="24"/>
          <w:szCs w:val="24"/>
        </w:rPr>
      </w:pPr>
      <w:r w:rsidRPr="0048485D">
        <w:rPr>
          <w:rFonts w:ascii="Arial" w:hAnsi="Arial" w:cs="Arial"/>
          <w:sz w:val="24"/>
          <w:szCs w:val="24"/>
        </w:rPr>
        <w:t>•</w:t>
      </w:r>
      <w:r w:rsidRPr="0048485D">
        <w:rPr>
          <w:rFonts w:ascii="Arial" w:hAnsi="Arial" w:cs="Arial"/>
          <w:sz w:val="24"/>
          <w:szCs w:val="24"/>
        </w:rPr>
        <w:tab/>
        <w:t xml:space="preserve">Aligns adoption pace with readiness indicators (market stability, infrastructure availability, lifecycle governance) </w:t>
      </w:r>
    </w:p>
    <w:p w14:paraId="3DBB2002" w14:textId="77777777" w:rsidR="0048485D" w:rsidRPr="0048485D" w:rsidRDefault="0048485D" w:rsidP="0048485D">
      <w:pPr>
        <w:rPr>
          <w:rFonts w:ascii="Arial" w:hAnsi="Arial" w:cs="Arial"/>
          <w:sz w:val="24"/>
          <w:szCs w:val="24"/>
        </w:rPr>
      </w:pPr>
      <w:r w:rsidRPr="0048485D">
        <w:rPr>
          <w:rFonts w:ascii="Arial" w:hAnsi="Arial" w:cs="Arial"/>
          <w:sz w:val="24"/>
          <w:szCs w:val="24"/>
        </w:rPr>
        <w:t>•</w:t>
      </w:r>
      <w:r w:rsidRPr="0048485D">
        <w:rPr>
          <w:rFonts w:ascii="Arial" w:hAnsi="Arial" w:cs="Arial"/>
          <w:sz w:val="24"/>
          <w:szCs w:val="24"/>
        </w:rPr>
        <w:tab/>
        <w:t xml:space="preserve">Shifts from “purchase-only” support to lifecycle confidence measures </w:t>
      </w:r>
    </w:p>
    <w:p w14:paraId="7C50934D" w14:textId="4EC7B9E8" w:rsidR="0048485D" w:rsidRDefault="0048485D" w:rsidP="0048485D">
      <w:pPr>
        <w:rPr>
          <w:rFonts w:ascii="Arial" w:hAnsi="Arial" w:cs="Arial"/>
          <w:sz w:val="24"/>
          <w:szCs w:val="24"/>
        </w:rPr>
      </w:pPr>
      <w:r w:rsidRPr="0048485D">
        <w:rPr>
          <w:rFonts w:ascii="Arial" w:hAnsi="Arial" w:cs="Arial"/>
          <w:sz w:val="24"/>
          <w:szCs w:val="24"/>
        </w:rPr>
        <w:t>•</w:t>
      </w:r>
      <w:r w:rsidRPr="0048485D">
        <w:rPr>
          <w:rFonts w:ascii="Arial" w:hAnsi="Arial" w:cs="Arial"/>
          <w:sz w:val="24"/>
          <w:szCs w:val="24"/>
        </w:rPr>
        <w:tab/>
        <w:t>Expands instruments that stabilise the used market and reduce uncertainty for second and third owners</w:t>
      </w:r>
    </w:p>
    <w:p w14:paraId="354460C9" w14:textId="77777777" w:rsidR="0048485D" w:rsidRPr="0048485D" w:rsidRDefault="0048485D" w:rsidP="0048485D">
      <w:pPr>
        <w:rPr>
          <w:rFonts w:ascii="Arial" w:hAnsi="Arial" w:cs="Arial"/>
          <w:sz w:val="24"/>
          <w:szCs w:val="24"/>
        </w:rPr>
      </w:pPr>
      <w:r w:rsidRPr="00D5738E">
        <w:rPr>
          <w:rFonts w:ascii="Arial" w:hAnsi="Arial" w:cs="Arial"/>
          <w:b/>
          <w:bCs/>
          <w:color w:val="4472C4" w:themeColor="accent1"/>
          <w:sz w:val="24"/>
          <w:szCs w:val="24"/>
        </w:rPr>
        <w:t>Executive Accountability.</w:t>
      </w:r>
      <w:r w:rsidRPr="00D5738E">
        <w:rPr>
          <w:rFonts w:ascii="Arial" w:hAnsi="Arial" w:cs="Arial"/>
          <w:color w:val="4472C4" w:themeColor="accent1"/>
          <w:sz w:val="24"/>
          <w:szCs w:val="24"/>
        </w:rPr>
        <w:t xml:space="preserve"> </w:t>
      </w:r>
      <w:r w:rsidRPr="0048485D">
        <w:rPr>
          <w:rFonts w:ascii="Arial" w:hAnsi="Arial" w:cs="Arial"/>
          <w:sz w:val="24"/>
          <w:szCs w:val="24"/>
        </w:rPr>
        <w:t xml:space="preserve">This paper examines: </w:t>
      </w:r>
    </w:p>
    <w:p w14:paraId="1B41C5C1" w14:textId="77777777" w:rsidR="0048485D" w:rsidRPr="0048485D" w:rsidRDefault="0048485D" w:rsidP="0048485D">
      <w:pPr>
        <w:rPr>
          <w:rFonts w:ascii="Arial" w:hAnsi="Arial" w:cs="Arial"/>
          <w:sz w:val="24"/>
          <w:szCs w:val="24"/>
        </w:rPr>
      </w:pPr>
      <w:r w:rsidRPr="0048485D">
        <w:rPr>
          <w:rFonts w:ascii="Arial" w:hAnsi="Arial" w:cs="Arial"/>
          <w:sz w:val="24"/>
          <w:szCs w:val="24"/>
        </w:rPr>
        <w:t>•</w:t>
      </w:r>
      <w:r w:rsidRPr="0048485D">
        <w:rPr>
          <w:rFonts w:ascii="Arial" w:hAnsi="Arial" w:cs="Arial"/>
          <w:sz w:val="24"/>
          <w:szCs w:val="24"/>
        </w:rPr>
        <w:tab/>
        <w:t xml:space="preserve">The constitutional dynamics of executive authority in the UK system; </w:t>
      </w:r>
    </w:p>
    <w:p w14:paraId="454C4292" w14:textId="77777777" w:rsidR="0048485D" w:rsidRPr="0048485D" w:rsidRDefault="0048485D" w:rsidP="0048485D">
      <w:pPr>
        <w:rPr>
          <w:rFonts w:ascii="Arial" w:hAnsi="Arial" w:cs="Arial"/>
          <w:sz w:val="24"/>
          <w:szCs w:val="24"/>
        </w:rPr>
      </w:pPr>
      <w:r w:rsidRPr="0048485D">
        <w:rPr>
          <w:rFonts w:ascii="Arial" w:hAnsi="Arial" w:cs="Arial"/>
          <w:sz w:val="24"/>
          <w:szCs w:val="24"/>
        </w:rPr>
        <w:t>•</w:t>
      </w:r>
      <w:r w:rsidRPr="0048485D">
        <w:rPr>
          <w:rFonts w:ascii="Arial" w:hAnsi="Arial" w:cs="Arial"/>
          <w:sz w:val="24"/>
          <w:szCs w:val="24"/>
        </w:rPr>
        <w:tab/>
        <w:t xml:space="preserve">The democratic strength of manifesto-derived mandates; </w:t>
      </w:r>
    </w:p>
    <w:p w14:paraId="19A2C37E" w14:textId="77777777" w:rsidR="0048485D" w:rsidRPr="0048485D" w:rsidRDefault="0048485D" w:rsidP="0048485D">
      <w:pPr>
        <w:rPr>
          <w:rFonts w:ascii="Arial" w:hAnsi="Arial" w:cs="Arial"/>
          <w:sz w:val="24"/>
          <w:szCs w:val="24"/>
        </w:rPr>
      </w:pPr>
      <w:r w:rsidRPr="0048485D">
        <w:rPr>
          <w:rFonts w:ascii="Arial" w:hAnsi="Arial" w:cs="Arial"/>
          <w:sz w:val="24"/>
          <w:szCs w:val="24"/>
        </w:rPr>
        <w:t>•</w:t>
      </w:r>
      <w:r w:rsidRPr="0048485D">
        <w:rPr>
          <w:rFonts w:ascii="Arial" w:hAnsi="Arial" w:cs="Arial"/>
          <w:sz w:val="24"/>
          <w:szCs w:val="24"/>
        </w:rPr>
        <w:tab/>
        <w:t xml:space="preserve">The fiscal risks associated with policy reversal; </w:t>
      </w:r>
    </w:p>
    <w:p w14:paraId="14327432" w14:textId="77777777" w:rsidR="0048485D" w:rsidRPr="0048485D" w:rsidRDefault="0048485D" w:rsidP="0048485D">
      <w:pPr>
        <w:rPr>
          <w:rFonts w:ascii="Arial" w:hAnsi="Arial" w:cs="Arial"/>
          <w:sz w:val="24"/>
          <w:szCs w:val="24"/>
        </w:rPr>
      </w:pPr>
      <w:r w:rsidRPr="0048485D">
        <w:rPr>
          <w:rFonts w:ascii="Arial" w:hAnsi="Arial" w:cs="Arial"/>
          <w:sz w:val="24"/>
          <w:szCs w:val="24"/>
        </w:rPr>
        <w:t>•</w:t>
      </w:r>
      <w:r w:rsidRPr="0048485D">
        <w:rPr>
          <w:rFonts w:ascii="Arial" w:hAnsi="Arial" w:cs="Arial"/>
          <w:sz w:val="24"/>
          <w:szCs w:val="24"/>
        </w:rPr>
        <w:tab/>
        <w:t xml:space="preserve">Comparative international mechanisms for enhanced democratic validation; </w:t>
      </w:r>
    </w:p>
    <w:p w14:paraId="6EA05736" w14:textId="77777777" w:rsidR="0048485D" w:rsidRPr="0048485D" w:rsidRDefault="0048485D" w:rsidP="0048485D">
      <w:pPr>
        <w:rPr>
          <w:rFonts w:ascii="Arial" w:hAnsi="Arial" w:cs="Arial"/>
          <w:sz w:val="24"/>
          <w:szCs w:val="24"/>
        </w:rPr>
      </w:pPr>
      <w:r w:rsidRPr="0048485D">
        <w:rPr>
          <w:rFonts w:ascii="Arial" w:hAnsi="Arial" w:cs="Arial"/>
          <w:sz w:val="24"/>
          <w:szCs w:val="24"/>
        </w:rPr>
        <w:t>•</w:t>
      </w:r>
      <w:r w:rsidRPr="0048485D">
        <w:rPr>
          <w:rFonts w:ascii="Arial" w:hAnsi="Arial" w:cs="Arial"/>
          <w:sz w:val="24"/>
          <w:szCs w:val="24"/>
        </w:rPr>
        <w:tab/>
        <w:t xml:space="preserve">A graduated accountability framework including referenda and statutory free votes. </w:t>
      </w:r>
    </w:p>
    <w:p w14:paraId="606E127F" w14:textId="183EA389" w:rsidR="0048485D" w:rsidRDefault="0048485D" w:rsidP="0048485D">
      <w:pPr>
        <w:rPr>
          <w:rFonts w:ascii="Arial" w:hAnsi="Arial" w:cs="Arial"/>
          <w:sz w:val="24"/>
          <w:szCs w:val="24"/>
        </w:rPr>
      </w:pPr>
      <w:r w:rsidRPr="0048485D">
        <w:rPr>
          <w:rFonts w:ascii="Arial" w:hAnsi="Arial" w:cs="Arial"/>
          <w:sz w:val="24"/>
          <w:szCs w:val="24"/>
        </w:rPr>
        <w:t>The central proposition is that significant structural policy decisions should be subject to enhanced democratic safeguards in order to improve durability, reduce fiscal waste, and strengthen public trust.</w:t>
      </w:r>
    </w:p>
    <w:p w14:paraId="40E7E409" w14:textId="77777777" w:rsidR="0048485D" w:rsidRPr="0048485D" w:rsidRDefault="0048485D" w:rsidP="0048485D">
      <w:pPr>
        <w:rPr>
          <w:rFonts w:ascii="Arial" w:hAnsi="Arial" w:cs="Arial"/>
          <w:sz w:val="24"/>
          <w:szCs w:val="24"/>
        </w:rPr>
      </w:pPr>
      <w:r w:rsidRPr="00D5738E">
        <w:rPr>
          <w:rFonts w:ascii="Arial" w:hAnsi="Arial" w:cs="Arial"/>
          <w:b/>
          <w:bCs/>
          <w:color w:val="4472C4" w:themeColor="accent1"/>
          <w:sz w:val="24"/>
          <w:szCs w:val="24"/>
        </w:rPr>
        <w:t>How Are EV Sales Counted?</w:t>
      </w:r>
      <w:r w:rsidRPr="00D5738E">
        <w:rPr>
          <w:rFonts w:ascii="Arial" w:hAnsi="Arial" w:cs="Arial"/>
          <w:color w:val="4472C4" w:themeColor="accent1"/>
          <w:sz w:val="24"/>
          <w:szCs w:val="24"/>
        </w:rPr>
        <w:t xml:space="preserve"> </w:t>
      </w:r>
      <w:r w:rsidRPr="0048485D">
        <w:rPr>
          <w:rFonts w:ascii="Arial" w:hAnsi="Arial" w:cs="Arial"/>
          <w:sz w:val="24"/>
          <w:szCs w:val="24"/>
        </w:rPr>
        <w:t xml:space="preserve">The UK’s transition to electric vehicles (EVs), driven in part by the Zero Emission Vehicle (ZEV) mandate, represents a significant and necessary shift in industrial, environmental, and consumer policy. </w:t>
      </w:r>
    </w:p>
    <w:p w14:paraId="4DA87BEE" w14:textId="1B24005E" w:rsidR="0048485D" w:rsidRDefault="0048485D" w:rsidP="0048485D">
      <w:pPr>
        <w:rPr>
          <w:rFonts w:ascii="Arial" w:hAnsi="Arial" w:cs="Arial"/>
          <w:sz w:val="24"/>
          <w:szCs w:val="24"/>
        </w:rPr>
      </w:pPr>
      <w:r w:rsidRPr="0048485D">
        <w:rPr>
          <w:rFonts w:ascii="Arial" w:hAnsi="Arial" w:cs="Arial"/>
          <w:sz w:val="24"/>
          <w:szCs w:val="24"/>
        </w:rPr>
        <w:t>This review examines the distinction between mandate (the policy objective) and method (the mechanisms used to achieve it).</w:t>
      </w:r>
    </w:p>
    <w:p w14:paraId="6A24514E" w14:textId="77777777" w:rsidR="0048485D" w:rsidRPr="0048485D" w:rsidRDefault="0048485D" w:rsidP="0048485D">
      <w:pPr>
        <w:rPr>
          <w:rFonts w:ascii="Arial" w:hAnsi="Arial" w:cs="Arial"/>
          <w:sz w:val="24"/>
          <w:szCs w:val="24"/>
        </w:rPr>
      </w:pPr>
      <w:r w:rsidRPr="00C7135B">
        <w:rPr>
          <w:rFonts w:ascii="Arial" w:hAnsi="Arial" w:cs="Arial"/>
          <w:b/>
          <w:bCs/>
          <w:color w:val="4472C4" w:themeColor="accent1"/>
          <w:sz w:val="24"/>
          <w:szCs w:val="24"/>
        </w:rPr>
        <w:t>Intercultural Children.</w:t>
      </w:r>
      <w:r w:rsidRPr="00C7135B">
        <w:rPr>
          <w:rFonts w:ascii="Arial" w:hAnsi="Arial" w:cs="Arial"/>
          <w:color w:val="4472C4" w:themeColor="accent1"/>
          <w:sz w:val="24"/>
          <w:szCs w:val="24"/>
        </w:rPr>
        <w:t xml:space="preserve"> </w:t>
      </w:r>
      <w:r w:rsidRPr="0048485D">
        <w:rPr>
          <w:rFonts w:ascii="Arial" w:hAnsi="Arial" w:cs="Arial"/>
          <w:sz w:val="24"/>
          <w:szCs w:val="24"/>
        </w:rPr>
        <w:t xml:space="preserve">Below is a draft of a Convincing Policy Document designed to give students, the </w:t>
      </w:r>
    </w:p>
    <w:p w14:paraId="538093B3" w14:textId="0E500527" w:rsidR="0048485D" w:rsidRDefault="0048485D" w:rsidP="0048485D">
      <w:pPr>
        <w:rPr>
          <w:rFonts w:ascii="Arial" w:hAnsi="Arial" w:cs="Arial"/>
          <w:sz w:val="24"/>
          <w:szCs w:val="24"/>
        </w:rPr>
      </w:pPr>
      <w:r w:rsidRPr="0048485D">
        <w:rPr>
          <w:rFonts w:ascii="Arial" w:hAnsi="Arial" w:cs="Arial"/>
          <w:sz w:val="24"/>
          <w:szCs w:val="24"/>
        </w:rPr>
        <w:t>"Generation Intercultural", the vital, active role we envision. It moves away from "blended messages" and toward a "contractual peace." A place where our young people become the champions of ‘Interculturalism.’</w:t>
      </w:r>
    </w:p>
    <w:p w14:paraId="700EE8E9" w14:textId="77777777" w:rsidR="0048485D" w:rsidRPr="0048485D" w:rsidRDefault="0048485D" w:rsidP="0048485D">
      <w:pPr>
        <w:rPr>
          <w:rFonts w:ascii="Arial" w:hAnsi="Arial" w:cs="Arial"/>
          <w:sz w:val="24"/>
          <w:szCs w:val="24"/>
        </w:rPr>
      </w:pPr>
      <w:r w:rsidRPr="00C7135B">
        <w:rPr>
          <w:rFonts w:ascii="Arial" w:hAnsi="Arial" w:cs="Arial"/>
          <w:b/>
          <w:bCs/>
          <w:color w:val="4472C4" w:themeColor="accent1"/>
          <w:sz w:val="24"/>
          <w:szCs w:val="24"/>
        </w:rPr>
        <w:t>Interculturalism</w:t>
      </w:r>
      <w:r w:rsidRPr="00C7135B">
        <w:rPr>
          <w:rFonts w:ascii="Arial" w:hAnsi="Arial" w:cs="Arial"/>
          <w:color w:val="4472C4" w:themeColor="accent1"/>
          <w:sz w:val="24"/>
          <w:szCs w:val="24"/>
        </w:rPr>
        <w:t xml:space="preserve">. </w:t>
      </w:r>
      <w:r w:rsidRPr="0048485D">
        <w:rPr>
          <w:rFonts w:ascii="Arial" w:hAnsi="Arial" w:cs="Arial"/>
          <w:sz w:val="24"/>
          <w:szCs w:val="24"/>
        </w:rPr>
        <w:t xml:space="preserve">This paper outlines the strategic transition from State Multiculturalism (passive coexistence) to Interculturalism (active participation).  </w:t>
      </w:r>
    </w:p>
    <w:p w14:paraId="3DF78CE1" w14:textId="0B5E02DC" w:rsidR="0048485D" w:rsidRDefault="0048485D" w:rsidP="0048485D">
      <w:pPr>
        <w:rPr>
          <w:rFonts w:ascii="Arial" w:hAnsi="Arial" w:cs="Arial"/>
          <w:sz w:val="24"/>
          <w:szCs w:val="24"/>
        </w:rPr>
      </w:pPr>
      <w:r w:rsidRPr="0048485D">
        <w:rPr>
          <w:rFonts w:ascii="Arial" w:hAnsi="Arial" w:cs="Arial"/>
          <w:sz w:val="24"/>
          <w:szCs w:val="24"/>
        </w:rPr>
        <w:t xml:space="preserve">It identifies the failures of "parallel lives" and proposes a "Reciprocal Contract" model. By focusing on tangible actions, such as English-led signage and integrated education, the UK aims to move beyond "protecting sensitivities" toward building a unified culture rooted in shared British values. Historically, the United Kingdom has </w:t>
      </w:r>
      <w:r w:rsidRPr="0048485D">
        <w:rPr>
          <w:rFonts w:ascii="Arial" w:hAnsi="Arial" w:cs="Arial"/>
          <w:sz w:val="24"/>
          <w:szCs w:val="24"/>
        </w:rPr>
        <w:lastRenderedPageBreak/>
        <w:t>proven itself to be a fair and just place by happily ‘blending’ newcomers into its society. Those newcomers have learned to share our values and to work alongside us to promote and protect those values. However, we appear to have strayed from the proper path over recent years</w:t>
      </w:r>
      <w:r>
        <w:rPr>
          <w:rFonts w:ascii="Arial" w:hAnsi="Arial" w:cs="Arial"/>
          <w:sz w:val="24"/>
          <w:szCs w:val="24"/>
        </w:rPr>
        <w:t>. Could</w:t>
      </w:r>
      <w:r w:rsidRPr="0048485D">
        <w:rPr>
          <w:rFonts w:ascii="Arial" w:hAnsi="Arial" w:cs="Arial"/>
          <w:sz w:val="24"/>
          <w:szCs w:val="24"/>
        </w:rPr>
        <w:t xml:space="preserve"> </w:t>
      </w:r>
      <w:r>
        <w:rPr>
          <w:rFonts w:ascii="Arial" w:hAnsi="Arial" w:cs="Arial"/>
          <w:sz w:val="24"/>
          <w:szCs w:val="24"/>
        </w:rPr>
        <w:t>Interculturalism</w:t>
      </w:r>
      <w:r w:rsidRPr="0048485D">
        <w:rPr>
          <w:rFonts w:ascii="Arial" w:hAnsi="Arial" w:cs="Arial"/>
          <w:sz w:val="24"/>
          <w:szCs w:val="24"/>
        </w:rPr>
        <w:t xml:space="preserve"> be the solution?</w:t>
      </w:r>
    </w:p>
    <w:p w14:paraId="3E4A700D" w14:textId="5546163E" w:rsidR="0048485D" w:rsidRDefault="0048485D" w:rsidP="0048485D">
      <w:pPr>
        <w:rPr>
          <w:rFonts w:ascii="Arial" w:hAnsi="Arial" w:cs="Arial"/>
          <w:sz w:val="24"/>
          <w:szCs w:val="24"/>
        </w:rPr>
      </w:pPr>
      <w:r w:rsidRPr="00C7135B">
        <w:rPr>
          <w:rFonts w:ascii="Arial" w:hAnsi="Arial" w:cs="Arial"/>
          <w:b/>
          <w:bCs/>
          <w:color w:val="4472C4" w:themeColor="accent1"/>
          <w:sz w:val="24"/>
          <w:szCs w:val="24"/>
        </w:rPr>
        <w:t>Iran.</w:t>
      </w:r>
      <w:r w:rsidRPr="00C7135B">
        <w:rPr>
          <w:rFonts w:ascii="Arial" w:hAnsi="Arial" w:cs="Arial"/>
          <w:color w:val="4472C4" w:themeColor="accent1"/>
          <w:sz w:val="24"/>
          <w:szCs w:val="24"/>
        </w:rPr>
        <w:t xml:space="preserve"> </w:t>
      </w:r>
      <w:r w:rsidRPr="0048485D">
        <w:rPr>
          <w:rFonts w:ascii="Arial" w:hAnsi="Arial" w:cs="Arial"/>
          <w:sz w:val="24"/>
          <w:szCs w:val="24"/>
        </w:rPr>
        <w:t>This document bundle is provided as an independent analytical resource to support informed discussion of freedom of religion or belief (</w:t>
      </w:r>
      <w:proofErr w:type="spellStart"/>
      <w:r w:rsidRPr="0048485D">
        <w:rPr>
          <w:rFonts w:ascii="Arial" w:hAnsi="Arial" w:cs="Arial"/>
          <w:sz w:val="24"/>
          <w:szCs w:val="24"/>
        </w:rPr>
        <w:t>FoRB</w:t>
      </w:r>
      <w:proofErr w:type="spellEnd"/>
      <w:r w:rsidRPr="0048485D">
        <w:rPr>
          <w:rFonts w:ascii="Arial" w:hAnsi="Arial" w:cs="Arial"/>
          <w:sz w:val="24"/>
          <w:szCs w:val="24"/>
        </w:rPr>
        <w:t>) in foreign policy contexts. It is not intended to advocate for any particular faith tradition or constitutional model, but to clarify distinctions relevant to policy, diplomacy, and human-rights engagement.</w:t>
      </w:r>
    </w:p>
    <w:p w14:paraId="56AC4800" w14:textId="52F90748" w:rsidR="0048485D" w:rsidRDefault="0048485D" w:rsidP="0048485D">
      <w:pPr>
        <w:rPr>
          <w:rFonts w:ascii="Arial" w:hAnsi="Arial" w:cs="Arial"/>
          <w:sz w:val="24"/>
          <w:szCs w:val="24"/>
        </w:rPr>
      </w:pPr>
      <w:r w:rsidRPr="00884561">
        <w:rPr>
          <w:rFonts w:ascii="Arial" w:hAnsi="Arial" w:cs="Arial"/>
          <w:b/>
          <w:bCs/>
          <w:color w:val="4472C4" w:themeColor="accent1"/>
          <w:sz w:val="24"/>
          <w:szCs w:val="24"/>
        </w:rPr>
        <w:t>Is Taxing the State Pension Legal?</w:t>
      </w:r>
      <w:r w:rsidRPr="00884561">
        <w:rPr>
          <w:rFonts w:ascii="Arial" w:hAnsi="Arial" w:cs="Arial"/>
          <w:color w:val="4472C4" w:themeColor="accent1"/>
          <w:sz w:val="24"/>
          <w:szCs w:val="24"/>
        </w:rPr>
        <w:t xml:space="preserve"> </w:t>
      </w:r>
      <w:r>
        <w:rPr>
          <w:rFonts w:ascii="Arial" w:hAnsi="Arial" w:cs="Arial"/>
          <w:sz w:val="24"/>
          <w:szCs w:val="24"/>
        </w:rPr>
        <w:t>A close look, through the eyes of a pensioner, of the complexities of the state pension and the misinformation surrounding it.</w:t>
      </w:r>
    </w:p>
    <w:p w14:paraId="2EE05079" w14:textId="5BAE6F5F" w:rsidR="0048485D" w:rsidRDefault="00EA027A" w:rsidP="0048485D">
      <w:pPr>
        <w:rPr>
          <w:rFonts w:ascii="Arial" w:hAnsi="Arial" w:cs="Arial"/>
          <w:sz w:val="24"/>
          <w:szCs w:val="24"/>
        </w:rPr>
      </w:pPr>
      <w:r w:rsidRPr="00884561">
        <w:rPr>
          <w:rFonts w:ascii="Arial" w:hAnsi="Arial" w:cs="Arial"/>
          <w:b/>
          <w:bCs/>
          <w:color w:val="4472C4" w:themeColor="accent1"/>
          <w:sz w:val="24"/>
          <w:szCs w:val="24"/>
        </w:rPr>
        <w:t xml:space="preserve">Islam, a Religion, </w:t>
      </w:r>
      <w:proofErr w:type="gramStart"/>
      <w:r w:rsidRPr="00884561">
        <w:rPr>
          <w:rFonts w:ascii="Arial" w:hAnsi="Arial" w:cs="Arial"/>
          <w:b/>
          <w:bCs/>
          <w:color w:val="4472C4" w:themeColor="accent1"/>
          <w:sz w:val="24"/>
          <w:szCs w:val="24"/>
        </w:rPr>
        <w:t>Not</w:t>
      </w:r>
      <w:proofErr w:type="gramEnd"/>
      <w:r w:rsidRPr="00884561">
        <w:rPr>
          <w:rFonts w:ascii="Arial" w:hAnsi="Arial" w:cs="Arial"/>
          <w:b/>
          <w:bCs/>
          <w:color w:val="4472C4" w:themeColor="accent1"/>
          <w:sz w:val="24"/>
          <w:szCs w:val="24"/>
        </w:rPr>
        <w:t xml:space="preserve"> a Race.</w:t>
      </w:r>
      <w:r w:rsidRPr="00884561">
        <w:rPr>
          <w:rFonts w:ascii="Arial" w:hAnsi="Arial" w:cs="Arial"/>
          <w:color w:val="4472C4" w:themeColor="accent1"/>
          <w:sz w:val="24"/>
          <w:szCs w:val="24"/>
        </w:rPr>
        <w:t xml:space="preserve"> </w:t>
      </w:r>
      <w:r w:rsidRPr="00EA027A">
        <w:rPr>
          <w:rFonts w:ascii="Arial" w:hAnsi="Arial" w:cs="Arial"/>
          <w:sz w:val="24"/>
          <w:szCs w:val="24"/>
        </w:rPr>
        <w:t>Public discussion sometimes reflects confusion between the terms Islam and Muslim and the concept of race or ethnicity. This report sets out the basic facts: Islam is a religion, and Muslims are followers of that religion. Neither term refers to a race.</w:t>
      </w:r>
    </w:p>
    <w:p w14:paraId="5E58962D" w14:textId="2CBDD06A" w:rsidR="00EA027A" w:rsidRDefault="00EA027A" w:rsidP="0048485D">
      <w:pPr>
        <w:rPr>
          <w:rFonts w:ascii="Arial" w:hAnsi="Arial" w:cs="Arial"/>
          <w:sz w:val="24"/>
          <w:szCs w:val="24"/>
        </w:rPr>
      </w:pPr>
      <w:r w:rsidRPr="00884561">
        <w:rPr>
          <w:rFonts w:ascii="Arial" w:hAnsi="Arial" w:cs="Arial"/>
          <w:b/>
          <w:bCs/>
          <w:color w:val="4472C4" w:themeColor="accent1"/>
          <w:sz w:val="24"/>
          <w:szCs w:val="24"/>
        </w:rPr>
        <w:t>Measured Migration and Cohesion</w:t>
      </w:r>
      <w:r>
        <w:rPr>
          <w:rFonts w:ascii="Arial" w:hAnsi="Arial" w:cs="Arial"/>
          <w:sz w:val="24"/>
          <w:szCs w:val="24"/>
        </w:rPr>
        <w:t xml:space="preserve">. </w:t>
      </w:r>
      <w:r w:rsidRPr="00EA027A">
        <w:rPr>
          <w:rFonts w:ascii="Arial" w:hAnsi="Arial" w:cs="Arial"/>
          <w:sz w:val="24"/>
          <w:szCs w:val="24"/>
        </w:rPr>
        <w:t xml:space="preserve">This paper examines the </w:t>
      </w:r>
      <w:r>
        <w:rPr>
          <w:rFonts w:ascii="Arial" w:hAnsi="Arial" w:cs="Arial"/>
          <w:sz w:val="24"/>
          <w:szCs w:val="24"/>
        </w:rPr>
        <w:t>relationship</w:t>
      </w:r>
      <w:r w:rsidRPr="00EA027A">
        <w:rPr>
          <w:rFonts w:ascii="Arial" w:hAnsi="Arial" w:cs="Arial"/>
          <w:sz w:val="24"/>
          <w:szCs w:val="24"/>
        </w:rPr>
        <w:t xml:space="preserve"> between migra</w:t>
      </w:r>
      <w:r>
        <w:rPr>
          <w:rFonts w:ascii="Arial" w:hAnsi="Arial" w:cs="Arial"/>
          <w:sz w:val="24"/>
          <w:szCs w:val="24"/>
        </w:rPr>
        <w:t>ti</w:t>
      </w:r>
      <w:r w:rsidRPr="00EA027A">
        <w:rPr>
          <w:rFonts w:ascii="Arial" w:hAnsi="Arial" w:cs="Arial"/>
          <w:sz w:val="24"/>
          <w:szCs w:val="24"/>
        </w:rPr>
        <w:t xml:space="preserve">on control, </w:t>
      </w:r>
      <w:r>
        <w:rPr>
          <w:rFonts w:ascii="Arial" w:hAnsi="Arial" w:cs="Arial"/>
          <w:sz w:val="24"/>
          <w:szCs w:val="24"/>
        </w:rPr>
        <w:t>assimilation</w:t>
      </w:r>
      <w:r w:rsidRPr="00EA027A">
        <w:rPr>
          <w:rFonts w:ascii="Arial" w:hAnsi="Arial" w:cs="Arial"/>
          <w:sz w:val="24"/>
          <w:szCs w:val="24"/>
        </w:rPr>
        <w:t xml:space="preserve"> outcomes, and social cohesion within liberal </w:t>
      </w:r>
      <w:r>
        <w:rPr>
          <w:rFonts w:ascii="Arial" w:hAnsi="Arial" w:cs="Arial"/>
          <w:sz w:val="24"/>
          <w:szCs w:val="24"/>
        </w:rPr>
        <w:t>democratic societies</w:t>
      </w:r>
      <w:r w:rsidRPr="00EA027A">
        <w:rPr>
          <w:rFonts w:ascii="Arial" w:hAnsi="Arial" w:cs="Arial"/>
          <w:sz w:val="24"/>
          <w:szCs w:val="24"/>
        </w:rPr>
        <w:t xml:space="preserve">, with </w:t>
      </w:r>
      <w:r>
        <w:rPr>
          <w:rFonts w:ascii="Arial" w:hAnsi="Arial" w:cs="Arial"/>
          <w:sz w:val="24"/>
          <w:szCs w:val="24"/>
        </w:rPr>
        <w:t>particular</w:t>
      </w:r>
      <w:r w:rsidRPr="00EA027A">
        <w:rPr>
          <w:rFonts w:ascii="Arial" w:hAnsi="Arial" w:cs="Arial"/>
          <w:sz w:val="24"/>
          <w:szCs w:val="24"/>
        </w:rPr>
        <w:t xml:space="preserve"> reference to the United Kingdom. Drawing on historical </w:t>
      </w:r>
      <w:r>
        <w:rPr>
          <w:rFonts w:ascii="Arial" w:hAnsi="Arial" w:cs="Arial"/>
          <w:sz w:val="24"/>
          <w:szCs w:val="24"/>
        </w:rPr>
        <w:t>patterns</w:t>
      </w:r>
      <w:r w:rsidRPr="00EA027A">
        <w:rPr>
          <w:rFonts w:ascii="Arial" w:hAnsi="Arial" w:cs="Arial"/>
          <w:sz w:val="24"/>
          <w:szCs w:val="24"/>
        </w:rPr>
        <w:t xml:space="preserve"> of migra</w:t>
      </w:r>
      <w:r>
        <w:rPr>
          <w:rFonts w:ascii="Arial" w:hAnsi="Arial" w:cs="Arial"/>
          <w:sz w:val="24"/>
          <w:szCs w:val="24"/>
        </w:rPr>
        <w:t>ti</w:t>
      </w:r>
      <w:r w:rsidRPr="00EA027A">
        <w:rPr>
          <w:rFonts w:ascii="Arial" w:hAnsi="Arial" w:cs="Arial"/>
          <w:sz w:val="24"/>
          <w:szCs w:val="24"/>
        </w:rPr>
        <w:t>on and integra</w:t>
      </w:r>
      <w:r>
        <w:rPr>
          <w:rFonts w:ascii="Arial" w:hAnsi="Arial" w:cs="Arial"/>
          <w:sz w:val="24"/>
          <w:szCs w:val="24"/>
        </w:rPr>
        <w:t>ti</w:t>
      </w:r>
      <w:r w:rsidRPr="00EA027A">
        <w:rPr>
          <w:rFonts w:ascii="Arial" w:hAnsi="Arial" w:cs="Arial"/>
          <w:sz w:val="24"/>
          <w:szCs w:val="24"/>
        </w:rPr>
        <w:t xml:space="preserve">on, it contrasts periods of managed, paced </w:t>
      </w:r>
      <w:r>
        <w:rPr>
          <w:rFonts w:ascii="Arial" w:hAnsi="Arial" w:cs="Arial"/>
          <w:sz w:val="24"/>
          <w:szCs w:val="24"/>
        </w:rPr>
        <w:t>migration</w:t>
      </w:r>
      <w:r w:rsidRPr="00EA027A">
        <w:rPr>
          <w:rFonts w:ascii="Arial" w:hAnsi="Arial" w:cs="Arial"/>
          <w:sz w:val="24"/>
          <w:szCs w:val="24"/>
        </w:rPr>
        <w:t xml:space="preserve">, associated with high levels of </w:t>
      </w:r>
      <w:r>
        <w:rPr>
          <w:rFonts w:ascii="Arial" w:hAnsi="Arial" w:cs="Arial"/>
          <w:sz w:val="24"/>
          <w:szCs w:val="24"/>
        </w:rPr>
        <w:t>assimilation</w:t>
      </w:r>
      <w:r w:rsidRPr="00EA027A">
        <w:rPr>
          <w:rFonts w:ascii="Arial" w:hAnsi="Arial" w:cs="Arial"/>
          <w:sz w:val="24"/>
          <w:szCs w:val="24"/>
        </w:rPr>
        <w:t xml:space="preserve"> and civic iden</w:t>
      </w:r>
      <w:r>
        <w:rPr>
          <w:rFonts w:ascii="Arial" w:hAnsi="Arial" w:cs="Arial"/>
          <w:sz w:val="24"/>
          <w:szCs w:val="24"/>
        </w:rPr>
        <w:t>ti</w:t>
      </w:r>
      <w:r w:rsidRPr="00EA027A">
        <w:rPr>
          <w:rFonts w:ascii="Arial" w:hAnsi="Arial" w:cs="Arial"/>
          <w:sz w:val="24"/>
          <w:szCs w:val="24"/>
        </w:rPr>
        <w:t>fica</w:t>
      </w:r>
      <w:r>
        <w:rPr>
          <w:rFonts w:ascii="Arial" w:hAnsi="Arial" w:cs="Arial"/>
          <w:sz w:val="24"/>
          <w:szCs w:val="24"/>
        </w:rPr>
        <w:t>ti</w:t>
      </w:r>
      <w:r w:rsidRPr="00EA027A">
        <w:rPr>
          <w:rFonts w:ascii="Arial" w:hAnsi="Arial" w:cs="Arial"/>
          <w:sz w:val="24"/>
          <w:szCs w:val="24"/>
        </w:rPr>
        <w:t>on, with contemporary concerns surrounding large-scale, rapid, or poorly regulated migra</w:t>
      </w:r>
      <w:r>
        <w:rPr>
          <w:rFonts w:ascii="Arial" w:hAnsi="Arial" w:cs="Arial"/>
          <w:sz w:val="24"/>
          <w:szCs w:val="24"/>
        </w:rPr>
        <w:t>ti</w:t>
      </w:r>
      <w:r w:rsidRPr="00EA027A">
        <w:rPr>
          <w:rFonts w:ascii="Arial" w:hAnsi="Arial" w:cs="Arial"/>
          <w:sz w:val="24"/>
          <w:szCs w:val="24"/>
        </w:rPr>
        <w:t xml:space="preserve">on. The analysis argues that successful diversity depends not merely on openness, but on the presence of clear </w:t>
      </w:r>
      <w:r>
        <w:rPr>
          <w:rFonts w:ascii="Arial" w:hAnsi="Arial" w:cs="Arial"/>
          <w:sz w:val="24"/>
          <w:szCs w:val="24"/>
        </w:rPr>
        <w:t>expectations</w:t>
      </w:r>
      <w:r w:rsidRPr="00EA027A">
        <w:rPr>
          <w:rFonts w:ascii="Arial" w:hAnsi="Arial" w:cs="Arial"/>
          <w:sz w:val="24"/>
          <w:szCs w:val="24"/>
        </w:rPr>
        <w:t xml:space="preserve">, </w:t>
      </w:r>
      <w:r>
        <w:rPr>
          <w:rFonts w:ascii="Arial" w:hAnsi="Arial" w:cs="Arial"/>
          <w:sz w:val="24"/>
          <w:szCs w:val="24"/>
        </w:rPr>
        <w:t>institutional</w:t>
      </w:r>
      <w:r w:rsidRPr="00EA027A">
        <w:rPr>
          <w:rFonts w:ascii="Arial" w:hAnsi="Arial" w:cs="Arial"/>
          <w:sz w:val="24"/>
          <w:szCs w:val="24"/>
        </w:rPr>
        <w:t xml:space="preserve"> capacity, and shared civic norms. The paper concludes that integra</w:t>
      </w:r>
      <w:r>
        <w:rPr>
          <w:rFonts w:ascii="Arial" w:hAnsi="Arial" w:cs="Arial"/>
          <w:sz w:val="24"/>
          <w:szCs w:val="24"/>
        </w:rPr>
        <w:t>ti</w:t>
      </w:r>
      <w:r w:rsidRPr="00EA027A">
        <w:rPr>
          <w:rFonts w:ascii="Arial" w:hAnsi="Arial" w:cs="Arial"/>
          <w:sz w:val="24"/>
          <w:szCs w:val="24"/>
        </w:rPr>
        <w:t xml:space="preserve">on is most </w:t>
      </w:r>
      <w:r>
        <w:rPr>
          <w:rFonts w:ascii="Arial" w:hAnsi="Arial" w:cs="Arial"/>
          <w:sz w:val="24"/>
          <w:szCs w:val="24"/>
        </w:rPr>
        <w:t>effective</w:t>
      </w:r>
      <w:r w:rsidRPr="00EA027A">
        <w:rPr>
          <w:rFonts w:ascii="Arial" w:hAnsi="Arial" w:cs="Arial"/>
          <w:sz w:val="24"/>
          <w:szCs w:val="24"/>
        </w:rPr>
        <w:t xml:space="preserve"> when migra</w:t>
      </w:r>
      <w:r>
        <w:rPr>
          <w:rFonts w:ascii="Arial" w:hAnsi="Arial" w:cs="Arial"/>
          <w:sz w:val="24"/>
          <w:szCs w:val="24"/>
        </w:rPr>
        <w:t>ti</w:t>
      </w:r>
      <w:r w:rsidRPr="00EA027A">
        <w:rPr>
          <w:rFonts w:ascii="Arial" w:hAnsi="Arial" w:cs="Arial"/>
          <w:sz w:val="24"/>
          <w:szCs w:val="24"/>
        </w:rPr>
        <w:t xml:space="preserve">on is managed at a scale and pace </w:t>
      </w:r>
      <w:r>
        <w:rPr>
          <w:rFonts w:ascii="Arial" w:hAnsi="Arial" w:cs="Arial"/>
          <w:sz w:val="24"/>
          <w:szCs w:val="24"/>
        </w:rPr>
        <w:t>compatible</w:t>
      </w:r>
      <w:r w:rsidRPr="00EA027A">
        <w:rPr>
          <w:rFonts w:ascii="Arial" w:hAnsi="Arial" w:cs="Arial"/>
          <w:sz w:val="24"/>
          <w:szCs w:val="24"/>
        </w:rPr>
        <w:t xml:space="preserve"> with the host society’s </w:t>
      </w:r>
      <w:r>
        <w:rPr>
          <w:rFonts w:ascii="Arial" w:hAnsi="Arial" w:cs="Arial"/>
          <w:sz w:val="24"/>
          <w:szCs w:val="24"/>
        </w:rPr>
        <w:t>absorptive</w:t>
      </w:r>
      <w:r w:rsidRPr="00EA027A">
        <w:rPr>
          <w:rFonts w:ascii="Arial" w:hAnsi="Arial" w:cs="Arial"/>
          <w:sz w:val="24"/>
          <w:szCs w:val="24"/>
        </w:rPr>
        <w:t xml:space="preserve"> capacity, and when civic </w:t>
      </w:r>
      <w:r>
        <w:rPr>
          <w:rFonts w:ascii="Arial" w:hAnsi="Arial" w:cs="Arial"/>
          <w:sz w:val="24"/>
          <w:szCs w:val="24"/>
        </w:rPr>
        <w:t>participation</w:t>
      </w:r>
      <w:r w:rsidRPr="00EA027A">
        <w:rPr>
          <w:rFonts w:ascii="Arial" w:hAnsi="Arial" w:cs="Arial"/>
          <w:sz w:val="24"/>
          <w:szCs w:val="24"/>
        </w:rPr>
        <w:t xml:space="preserve"> is </w:t>
      </w:r>
      <w:r>
        <w:rPr>
          <w:rFonts w:ascii="Arial" w:hAnsi="Arial" w:cs="Arial"/>
          <w:sz w:val="24"/>
          <w:szCs w:val="24"/>
        </w:rPr>
        <w:t>prioritised</w:t>
      </w:r>
      <w:r w:rsidRPr="00EA027A">
        <w:rPr>
          <w:rFonts w:ascii="Arial" w:hAnsi="Arial" w:cs="Arial"/>
          <w:sz w:val="24"/>
          <w:szCs w:val="24"/>
        </w:rPr>
        <w:t xml:space="preserve"> over </w:t>
      </w:r>
      <w:r>
        <w:rPr>
          <w:rFonts w:ascii="Arial" w:hAnsi="Arial" w:cs="Arial"/>
          <w:sz w:val="24"/>
          <w:szCs w:val="24"/>
        </w:rPr>
        <w:t>group-based</w:t>
      </w:r>
      <w:r w:rsidRPr="00EA027A">
        <w:rPr>
          <w:rFonts w:ascii="Arial" w:hAnsi="Arial" w:cs="Arial"/>
          <w:sz w:val="24"/>
          <w:szCs w:val="24"/>
        </w:rPr>
        <w:t xml:space="preserve"> iden</w:t>
      </w:r>
      <w:r>
        <w:rPr>
          <w:rFonts w:ascii="Arial" w:hAnsi="Arial" w:cs="Arial"/>
          <w:sz w:val="24"/>
          <w:szCs w:val="24"/>
        </w:rPr>
        <w:t>ti</w:t>
      </w:r>
      <w:r w:rsidRPr="00EA027A">
        <w:rPr>
          <w:rFonts w:ascii="Arial" w:hAnsi="Arial" w:cs="Arial"/>
          <w:sz w:val="24"/>
          <w:szCs w:val="24"/>
        </w:rPr>
        <w:t>ty poli</w:t>
      </w:r>
      <w:r>
        <w:rPr>
          <w:rFonts w:ascii="Arial" w:hAnsi="Arial" w:cs="Arial"/>
          <w:sz w:val="24"/>
          <w:szCs w:val="24"/>
        </w:rPr>
        <w:t>ti</w:t>
      </w:r>
      <w:r w:rsidRPr="00EA027A">
        <w:rPr>
          <w:rFonts w:ascii="Arial" w:hAnsi="Arial" w:cs="Arial"/>
          <w:sz w:val="24"/>
          <w:szCs w:val="24"/>
        </w:rPr>
        <w:t>cs.</w:t>
      </w:r>
    </w:p>
    <w:p w14:paraId="31AE1E4E" w14:textId="61A0E3D0" w:rsidR="00EA027A" w:rsidRDefault="00EA027A" w:rsidP="0048485D">
      <w:pPr>
        <w:rPr>
          <w:rFonts w:ascii="Arial" w:hAnsi="Arial" w:cs="Arial"/>
          <w:sz w:val="24"/>
          <w:szCs w:val="24"/>
        </w:rPr>
      </w:pPr>
      <w:r w:rsidRPr="00884561">
        <w:rPr>
          <w:rFonts w:ascii="Arial" w:hAnsi="Arial" w:cs="Arial"/>
          <w:b/>
          <w:bCs/>
          <w:color w:val="4472C4" w:themeColor="accent1"/>
          <w:sz w:val="24"/>
          <w:szCs w:val="24"/>
        </w:rPr>
        <w:t>MPs Behaviour.</w:t>
      </w:r>
      <w:r w:rsidRPr="00884561">
        <w:rPr>
          <w:rFonts w:ascii="Arial" w:hAnsi="Arial" w:cs="Arial"/>
          <w:color w:val="4472C4" w:themeColor="accent1"/>
          <w:sz w:val="24"/>
          <w:szCs w:val="24"/>
        </w:rPr>
        <w:t xml:space="preserve"> </w:t>
      </w:r>
      <w:r w:rsidRPr="00EA027A">
        <w:rPr>
          <w:rFonts w:ascii="Arial" w:hAnsi="Arial" w:cs="Arial"/>
          <w:sz w:val="24"/>
          <w:szCs w:val="24"/>
        </w:rPr>
        <w:t>Public concern about the conduct of elected representatives has become a recurring feature of modern political life. Allegations of misconduct involving Members of Parliament frequently attract significant media attention, particularly where the matters involve criminal investigation, sexual misconduct, financial interests, or controversial personal associations. Viewed individually, such cases can create a strong impression that misconduct is widespread or on the rise. Yet the public record rarely presents a clear picture of how often such matters actually occur, how they are handled, or how outcomes are reached.</w:t>
      </w:r>
    </w:p>
    <w:p w14:paraId="2A97F4B0" w14:textId="7A2D75F3" w:rsidR="00EA027A" w:rsidRDefault="00EA027A" w:rsidP="0048485D">
      <w:pPr>
        <w:rPr>
          <w:rFonts w:ascii="Arial" w:hAnsi="Arial" w:cs="Arial"/>
          <w:sz w:val="24"/>
          <w:szCs w:val="24"/>
        </w:rPr>
      </w:pPr>
      <w:r w:rsidRPr="00884561">
        <w:rPr>
          <w:rFonts w:ascii="Arial" w:hAnsi="Arial" w:cs="Arial"/>
          <w:b/>
          <w:bCs/>
          <w:color w:val="4472C4" w:themeColor="accent1"/>
          <w:sz w:val="24"/>
          <w:szCs w:val="24"/>
        </w:rPr>
        <w:t>Neurodiversity and the AI Gatekeeper.</w:t>
      </w:r>
      <w:r w:rsidRPr="00884561">
        <w:rPr>
          <w:rFonts w:ascii="Arial" w:hAnsi="Arial" w:cs="Arial"/>
          <w:color w:val="4472C4" w:themeColor="accent1"/>
          <w:sz w:val="24"/>
          <w:szCs w:val="24"/>
        </w:rPr>
        <w:t xml:space="preserve"> </w:t>
      </w:r>
      <w:r w:rsidRPr="00EA027A">
        <w:rPr>
          <w:rFonts w:ascii="Arial" w:hAnsi="Arial" w:cs="Arial"/>
          <w:sz w:val="24"/>
          <w:szCs w:val="24"/>
        </w:rPr>
        <w:t>This paper outlines how automated behavioural testing in the UK retail sector acts as a "digital gatekeeper," disproportionately excluding neurodivergent talent.</w:t>
      </w:r>
    </w:p>
    <w:p w14:paraId="7BEDD0CF" w14:textId="502394C2" w:rsidR="004E549C" w:rsidRDefault="004E549C" w:rsidP="0048485D">
      <w:pPr>
        <w:rPr>
          <w:rFonts w:ascii="Arial" w:hAnsi="Arial" w:cs="Arial"/>
          <w:sz w:val="24"/>
          <w:szCs w:val="24"/>
        </w:rPr>
      </w:pPr>
      <w:r w:rsidRPr="00884561">
        <w:rPr>
          <w:rFonts w:ascii="Arial" w:hAnsi="Arial" w:cs="Arial"/>
          <w:b/>
          <w:bCs/>
          <w:color w:val="4472C4" w:themeColor="accent1"/>
          <w:sz w:val="24"/>
          <w:szCs w:val="24"/>
        </w:rPr>
        <w:t>Parliament is not sovereign.</w:t>
      </w:r>
      <w:r w:rsidRPr="00884561">
        <w:rPr>
          <w:rFonts w:ascii="Arial" w:hAnsi="Arial" w:cs="Arial"/>
          <w:color w:val="4472C4" w:themeColor="accent1"/>
          <w:sz w:val="24"/>
          <w:szCs w:val="24"/>
        </w:rPr>
        <w:t xml:space="preserve"> </w:t>
      </w:r>
      <w:r w:rsidRPr="004E549C">
        <w:rPr>
          <w:rFonts w:ascii="Arial" w:hAnsi="Arial" w:cs="Arial"/>
          <w:sz w:val="24"/>
          <w:szCs w:val="24"/>
        </w:rPr>
        <w:t xml:space="preserve">This paper challenges the orthodox doctrine of absolute Parliamentary Sovereignty in the United Kingdom, proposing that it is a "persuasive myth" developed and maintained by the judiciary. By applying rigorous logical analysis to primary authorities, including the Confirmation of the Charters </w:t>
      </w:r>
      <w:r w:rsidRPr="004E549C">
        <w:rPr>
          <w:rFonts w:ascii="Arial" w:hAnsi="Arial" w:cs="Arial"/>
          <w:sz w:val="24"/>
          <w:szCs w:val="24"/>
        </w:rPr>
        <w:lastRenderedPageBreak/>
        <w:t>1297, Dr Bonham’s Case (1610), and the Act of Settlement 1700, this study argues that Parliament’s legislative power is a derived authority, not a self-generating one.</w:t>
      </w:r>
    </w:p>
    <w:p w14:paraId="503851F5" w14:textId="0D7CFA9C" w:rsidR="004E549C" w:rsidRDefault="004E549C" w:rsidP="0048485D">
      <w:pPr>
        <w:rPr>
          <w:rFonts w:ascii="Arial" w:hAnsi="Arial" w:cs="Arial"/>
          <w:sz w:val="24"/>
          <w:szCs w:val="24"/>
        </w:rPr>
      </w:pPr>
      <w:r w:rsidRPr="00884561">
        <w:rPr>
          <w:rFonts w:ascii="Arial" w:hAnsi="Arial" w:cs="Arial"/>
          <w:b/>
          <w:bCs/>
          <w:color w:val="4472C4" w:themeColor="accent1"/>
          <w:sz w:val="24"/>
          <w:szCs w:val="24"/>
        </w:rPr>
        <w:t>Parliamentary Sovereignty and Judicial Review.</w:t>
      </w:r>
      <w:r w:rsidRPr="00884561">
        <w:rPr>
          <w:rFonts w:ascii="Arial" w:hAnsi="Arial" w:cs="Arial"/>
          <w:color w:val="4472C4" w:themeColor="accent1"/>
          <w:sz w:val="24"/>
          <w:szCs w:val="24"/>
        </w:rPr>
        <w:t xml:space="preserve"> </w:t>
      </w:r>
      <w:r w:rsidRPr="004E549C">
        <w:rPr>
          <w:rFonts w:ascii="Arial" w:hAnsi="Arial" w:cs="Arial"/>
          <w:sz w:val="24"/>
          <w:szCs w:val="24"/>
        </w:rPr>
        <w:t>This note explains how Parliamentary sovereignty and judicial review operate together in the UK constitutional system. It clarifies a common misunderstanding: when courts rule that a government decision is unlawful, they are not overruling Parliament — they are enforcing Parliament’s law.</w:t>
      </w:r>
    </w:p>
    <w:p w14:paraId="33E670D5" w14:textId="4E6E7265" w:rsidR="004E549C" w:rsidRDefault="004E549C" w:rsidP="0048485D">
      <w:pPr>
        <w:rPr>
          <w:rFonts w:ascii="Arial" w:hAnsi="Arial" w:cs="Arial"/>
          <w:sz w:val="24"/>
          <w:szCs w:val="24"/>
        </w:rPr>
      </w:pPr>
      <w:r w:rsidRPr="00884561">
        <w:rPr>
          <w:rFonts w:ascii="Arial" w:hAnsi="Arial" w:cs="Arial"/>
          <w:b/>
          <w:bCs/>
          <w:color w:val="4472C4" w:themeColor="accent1"/>
          <w:sz w:val="24"/>
          <w:szCs w:val="24"/>
        </w:rPr>
        <w:t>Postponement of Elections</w:t>
      </w:r>
      <w:r w:rsidRPr="00884561">
        <w:rPr>
          <w:rFonts w:ascii="Arial" w:hAnsi="Arial" w:cs="Arial"/>
          <w:color w:val="4472C4" w:themeColor="accent1"/>
          <w:sz w:val="24"/>
          <w:szCs w:val="24"/>
        </w:rPr>
        <w:t xml:space="preserve">. </w:t>
      </w:r>
      <w:r w:rsidRPr="004E549C">
        <w:rPr>
          <w:rFonts w:ascii="Arial" w:hAnsi="Arial" w:cs="Arial"/>
          <w:sz w:val="24"/>
          <w:szCs w:val="24"/>
        </w:rPr>
        <w:t>To support parliamentary scrutiny of the executive’s use of delegated powers to postpone scheduled local elections, and to encourage clearer safeguards against repeat or convenience-based deferral.</w:t>
      </w:r>
    </w:p>
    <w:p w14:paraId="472B115F" w14:textId="69A1A9F7" w:rsidR="004E549C" w:rsidRDefault="004E549C" w:rsidP="0048485D">
      <w:pPr>
        <w:rPr>
          <w:rFonts w:ascii="Arial" w:hAnsi="Arial" w:cs="Arial"/>
          <w:sz w:val="24"/>
          <w:szCs w:val="24"/>
        </w:rPr>
      </w:pPr>
      <w:r w:rsidRPr="004E549C">
        <w:rPr>
          <w:rFonts w:ascii="Arial" w:hAnsi="Arial" w:cs="Arial"/>
          <w:sz w:val="24"/>
          <w:szCs w:val="24"/>
        </w:rPr>
        <w:t>Project “Equilibrium”</w:t>
      </w:r>
      <w:r>
        <w:rPr>
          <w:rFonts w:ascii="Arial" w:hAnsi="Arial" w:cs="Arial"/>
          <w:sz w:val="24"/>
          <w:szCs w:val="24"/>
        </w:rPr>
        <w:t xml:space="preserve">. </w:t>
      </w:r>
      <w:r w:rsidRPr="004E549C">
        <w:rPr>
          <w:rFonts w:ascii="Arial" w:hAnsi="Arial" w:cs="Arial"/>
          <w:sz w:val="24"/>
          <w:szCs w:val="24"/>
        </w:rPr>
        <w:t>The following briefing is a neutral strategic assessment based on current polling data (YouGov 11/03/26), geopolitical energy volatility in the Gulf, and competitive party analysis. It does not reflect personal political endorsement. This paper serves as a 'Red Team' exercise to identify the high-potency levers required to address the current disconnect between government policy and public sentiment.</w:t>
      </w:r>
    </w:p>
    <w:p w14:paraId="44226850" w14:textId="4B2508E3" w:rsidR="004E549C" w:rsidRDefault="004E549C" w:rsidP="0048485D">
      <w:pPr>
        <w:rPr>
          <w:rFonts w:ascii="Arial" w:hAnsi="Arial" w:cs="Arial"/>
          <w:sz w:val="24"/>
          <w:szCs w:val="24"/>
        </w:rPr>
      </w:pPr>
      <w:r w:rsidRPr="004E549C">
        <w:rPr>
          <w:rFonts w:ascii="Arial" w:hAnsi="Arial" w:cs="Arial"/>
          <w:sz w:val="24"/>
          <w:szCs w:val="24"/>
        </w:rPr>
        <w:t>Should All MPs Be Security Vetted and CRB Checked</w:t>
      </w:r>
      <w:r>
        <w:rPr>
          <w:rFonts w:ascii="Arial" w:hAnsi="Arial" w:cs="Arial"/>
          <w:sz w:val="24"/>
          <w:szCs w:val="24"/>
        </w:rPr>
        <w:t xml:space="preserve">? </w:t>
      </w:r>
      <w:r w:rsidRPr="004E549C">
        <w:rPr>
          <w:rFonts w:ascii="Arial" w:hAnsi="Arial" w:cs="Arial"/>
          <w:sz w:val="24"/>
          <w:szCs w:val="24"/>
        </w:rPr>
        <w:t>This paper examines the terminal decline of the "Gentleman’s Agreement" as the foundational model for parliamentary integrity in Great Britain. It argues that the current discretionary system, characterised by internal party discipline and non-binding security advice, is no longer sufficient to protect national security or maintain public confidence in an era of sectarian politics and foreign influence.</w:t>
      </w:r>
    </w:p>
    <w:p w14:paraId="6D9E7CDF" w14:textId="77777777" w:rsidR="004E549C" w:rsidRPr="00F201FE" w:rsidRDefault="004E549C" w:rsidP="004E549C">
      <w:pPr>
        <w:spacing w:before="100" w:beforeAutospacing="1" w:after="100" w:afterAutospacing="1" w:line="240" w:lineRule="auto"/>
        <w:rPr>
          <w:rFonts w:ascii="Arial" w:eastAsia="Times New Roman" w:hAnsi="Arial" w:cs="Arial"/>
          <w:kern w:val="0"/>
          <w:sz w:val="24"/>
          <w:szCs w:val="24"/>
          <w:lang w:eastAsia="en-GB"/>
          <w14:ligatures w14:val="none"/>
        </w:rPr>
      </w:pPr>
      <w:r w:rsidRPr="00884561">
        <w:rPr>
          <w:rFonts w:ascii="Arial" w:hAnsi="Arial" w:cs="Arial"/>
          <w:b/>
          <w:bCs/>
          <w:color w:val="4472C4" w:themeColor="accent1"/>
          <w:sz w:val="24"/>
          <w:szCs w:val="24"/>
        </w:rPr>
        <w:t>Steel and Skills</w:t>
      </w:r>
      <w:r w:rsidRPr="00884561">
        <w:rPr>
          <w:rFonts w:ascii="Arial" w:hAnsi="Arial" w:cs="Arial"/>
          <w:color w:val="4472C4" w:themeColor="accent1"/>
          <w:sz w:val="24"/>
          <w:szCs w:val="24"/>
        </w:rPr>
        <w:t xml:space="preserve">. </w:t>
      </w:r>
      <w:r w:rsidRPr="00D52A30">
        <w:rPr>
          <w:rFonts w:ascii="Arial" w:eastAsia="Times New Roman" w:hAnsi="Arial" w:cs="Arial"/>
          <w:kern w:val="0"/>
          <w:sz w:val="24"/>
          <w:szCs w:val="24"/>
          <w:lang w:eastAsia="en-GB"/>
          <w14:ligatures w14:val="none"/>
        </w:rPr>
        <w:t>Current thinking</w:t>
      </w:r>
      <w:r w:rsidRPr="00F201FE">
        <w:rPr>
          <w:rFonts w:ascii="Arial" w:eastAsia="Times New Roman" w:hAnsi="Arial" w:cs="Arial"/>
          <w:kern w:val="0"/>
          <w:sz w:val="24"/>
          <w:szCs w:val="24"/>
          <w:lang w:eastAsia="en-GB"/>
          <w14:ligatures w14:val="none"/>
        </w:rPr>
        <w:t xml:space="preserve"> points toward a growing frustration with "Credentialism"</w:t>
      </w:r>
      <w:r w:rsidRPr="00D52A30">
        <w:rPr>
          <w:rFonts w:ascii="Arial" w:eastAsia="Times New Roman" w:hAnsi="Arial" w:cs="Arial"/>
          <w:kern w:val="0"/>
          <w:sz w:val="24"/>
          <w:szCs w:val="24"/>
          <w:lang w:eastAsia="en-GB"/>
          <w14:ligatures w14:val="none"/>
        </w:rPr>
        <w:t xml:space="preserve">, </w:t>
      </w:r>
      <w:r w:rsidRPr="00F201FE">
        <w:rPr>
          <w:rFonts w:ascii="Arial" w:eastAsia="Times New Roman" w:hAnsi="Arial" w:cs="Arial"/>
          <w:kern w:val="0"/>
          <w:sz w:val="24"/>
          <w:szCs w:val="24"/>
          <w:lang w:eastAsia="en-GB"/>
          <w14:ligatures w14:val="none"/>
        </w:rPr>
        <w:t>the idea that a degree is a mandatory ticket to a career, regardless of whether the skills learned match the needs of the economy.</w:t>
      </w:r>
    </w:p>
    <w:p w14:paraId="74295FD5" w14:textId="77777777" w:rsidR="004E549C" w:rsidRDefault="004E549C" w:rsidP="004E549C">
      <w:pPr>
        <w:spacing w:before="100" w:beforeAutospacing="1" w:after="100" w:afterAutospacing="1" w:line="240" w:lineRule="auto"/>
        <w:rPr>
          <w:rFonts w:ascii="Arial" w:eastAsia="Times New Roman" w:hAnsi="Arial" w:cs="Arial"/>
          <w:kern w:val="0"/>
          <w:sz w:val="24"/>
          <w:szCs w:val="24"/>
          <w:lang w:eastAsia="en-GB"/>
          <w14:ligatures w14:val="none"/>
        </w:rPr>
      </w:pPr>
      <w:r w:rsidRPr="00F201FE">
        <w:rPr>
          <w:rFonts w:ascii="Arial" w:eastAsia="Times New Roman" w:hAnsi="Arial" w:cs="Arial"/>
          <w:kern w:val="0"/>
          <w:sz w:val="24"/>
          <w:szCs w:val="24"/>
          <w:lang w:eastAsia="en-GB"/>
          <w14:ligatures w14:val="none"/>
        </w:rPr>
        <w:t xml:space="preserve">The data for early 2026 suggests the UK is at a tipping point on this issue. Youth unemployment recently hit a five-year high of </w:t>
      </w:r>
      <w:r w:rsidRPr="00F201FE">
        <w:rPr>
          <w:rFonts w:ascii="Arial" w:eastAsia="Times New Roman" w:hAnsi="Arial" w:cs="Arial"/>
          <w:b/>
          <w:bCs/>
          <w:kern w:val="0"/>
          <w:sz w:val="24"/>
          <w:szCs w:val="24"/>
          <w:lang w:eastAsia="en-GB"/>
          <w14:ligatures w14:val="none"/>
        </w:rPr>
        <w:t>14%</w:t>
      </w:r>
      <w:r w:rsidRPr="00F201FE">
        <w:rPr>
          <w:rFonts w:ascii="Arial" w:eastAsia="Times New Roman" w:hAnsi="Arial" w:cs="Arial"/>
          <w:kern w:val="0"/>
          <w:sz w:val="24"/>
          <w:szCs w:val="24"/>
          <w:lang w:eastAsia="en-GB"/>
          <w14:ligatures w14:val="none"/>
        </w:rPr>
        <w:t>, yet many sectors report they cannot find workers with practical, technical skills.</w:t>
      </w:r>
    </w:p>
    <w:p w14:paraId="6830EAC5" w14:textId="77777777" w:rsidR="004E549C" w:rsidRPr="004E549C" w:rsidRDefault="004E549C" w:rsidP="004E549C">
      <w:pPr>
        <w:spacing w:before="100" w:beforeAutospacing="1" w:after="100" w:afterAutospacing="1" w:line="240" w:lineRule="auto"/>
        <w:rPr>
          <w:rFonts w:ascii="Arial" w:eastAsia="Times New Roman" w:hAnsi="Arial" w:cs="Arial"/>
          <w:kern w:val="0"/>
          <w:sz w:val="24"/>
          <w:szCs w:val="24"/>
          <w:lang w:eastAsia="en-GB"/>
          <w14:ligatures w14:val="none"/>
        </w:rPr>
      </w:pPr>
      <w:r w:rsidRPr="00B340AB">
        <w:rPr>
          <w:rFonts w:ascii="Arial" w:eastAsia="Times New Roman" w:hAnsi="Arial" w:cs="Arial"/>
          <w:b/>
          <w:bCs/>
          <w:color w:val="4472C4" w:themeColor="accent1"/>
          <w:kern w:val="0"/>
          <w:sz w:val="24"/>
          <w:szCs w:val="24"/>
          <w:lang w:eastAsia="en-GB"/>
          <w14:ligatures w14:val="none"/>
        </w:rPr>
        <w:t>THE BRIDGE TO ENERGY VICTORY.</w:t>
      </w:r>
      <w:r w:rsidRPr="00B340AB">
        <w:rPr>
          <w:rFonts w:ascii="Arial" w:eastAsia="Times New Roman" w:hAnsi="Arial" w:cs="Arial"/>
          <w:color w:val="4472C4" w:themeColor="accent1"/>
          <w:kern w:val="0"/>
          <w:sz w:val="24"/>
          <w:szCs w:val="24"/>
          <w:lang w:eastAsia="en-GB"/>
          <w14:ligatures w14:val="none"/>
        </w:rPr>
        <w:t xml:space="preserve"> </w:t>
      </w:r>
      <w:r w:rsidRPr="004E549C">
        <w:rPr>
          <w:rFonts w:ascii="Arial" w:eastAsia="Times New Roman" w:hAnsi="Arial" w:cs="Arial"/>
          <w:kern w:val="0"/>
          <w:sz w:val="24"/>
          <w:szCs w:val="24"/>
          <w:lang w:eastAsia="en-GB"/>
          <w14:ligatures w14:val="none"/>
        </w:rPr>
        <w:t>Our current "straight line" transition to renewables is facing a liquidity and timing crisis.</w:t>
      </w:r>
    </w:p>
    <w:p w14:paraId="37AB6946" w14:textId="77777777" w:rsidR="004E549C" w:rsidRPr="004E549C" w:rsidRDefault="004E549C" w:rsidP="004E549C">
      <w:pPr>
        <w:spacing w:before="100" w:beforeAutospacing="1" w:after="100" w:afterAutospacing="1" w:line="240" w:lineRule="auto"/>
        <w:rPr>
          <w:rFonts w:ascii="Arial" w:eastAsia="Times New Roman" w:hAnsi="Arial" w:cs="Arial"/>
          <w:kern w:val="0"/>
          <w:sz w:val="24"/>
          <w:szCs w:val="24"/>
          <w:lang w:eastAsia="en-GB"/>
          <w14:ligatures w14:val="none"/>
        </w:rPr>
      </w:pPr>
      <w:r w:rsidRPr="004E549C">
        <w:rPr>
          <w:rFonts w:ascii="Arial" w:eastAsia="Times New Roman" w:hAnsi="Arial" w:cs="Arial"/>
          <w:kern w:val="0"/>
          <w:sz w:val="24"/>
          <w:szCs w:val="24"/>
          <w:lang w:eastAsia="en-GB"/>
          <w14:ligatures w14:val="none"/>
        </w:rPr>
        <w:t>•</w:t>
      </w:r>
      <w:r w:rsidRPr="004E549C">
        <w:rPr>
          <w:rFonts w:ascii="Arial" w:eastAsia="Times New Roman" w:hAnsi="Arial" w:cs="Arial"/>
          <w:kern w:val="0"/>
          <w:sz w:val="24"/>
          <w:szCs w:val="24"/>
          <w:lang w:eastAsia="en-GB"/>
          <w14:ligatures w14:val="none"/>
        </w:rPr>
        <w:tab/>
        <w:t>The Transition Gap: Current data suggests the "Green Grid" is lagging. Infrastructure bottlenecks and the high cost of debt mean domestic baseline power is not scaling fast enough to meet demand.</w:t>
      </w:r>
    </w:p>
    <w:p w14:paraId="45F276E0" w14:textId="77777777" w:rsidR="004E549C" w:rsidRPr="004E549C" w:rsidRDefault="004E549C" w:rsidP="004E549C">
      <w:pPr>
        <w:spacing w:before="100" w:beforeAutospacing="1" w:after="100" w:afterAutospacing="1" w:line="240" w:lineRule="auto"/>
        <w:rPr>
          <w:rFonts w:ascii="Arial" w:eastAsia="Times New Roman" w:hAnsi="Arial" w:cs="Arial"/>
          <w:kern w:val="0"/>
          <w:sz w:val="24"/>
          <w:szCs w:val="24"/>
          <w:lang w:eastAsia="en-GB"/>
          <w14:ligatures w14:val="none"/>
        </w:rPr>
      </w:pPr>
      <w:r w:rsidRPr="004E549C">
        <w:rPr>
          <w:rFonts w:ascii="Arial" w:eastAsia="Times New Roman" w:hAnsi="Arial" w:cs="Arial"/>
          <w:kern w:val="0"/>
          <w:sz w:val="24"/>
          <w:szCs w:val="24"/>
          <w:lang w:eastAsia="en-GB"/>
          <w14:ligatures w14:val="none"/>
        </w:rPr>
        <w:t>•</w:t>
      </w:r>
      <w:r w:rsidRPr="004E549C">
        <w:rPr>
          <w:rFonts w:ascii="Arial" w:eastAsia="Times New Roman" w:hAnsi="Arial" w:cs="Arial"/>
          <w:kern w:val="0"/>
          <w:sz w:val="24"/>
          <w:szCs w:val="24"/>
          <w:lang w:eastAsia="en-GB"/>
          <w14:ligatures w14:val="none"/>
        </w:rPr>
        <w:tab/>
        <w:t>Energy ‘Ransom’: We are currently net importers of energy. Relying on global markets (Norway/LNG) leaves the UK vulnerable to "market ransom" where prices are dictated by geopolitical actors, not UK needs.</w:t>
      </w:r>
    </w:p>
    <w:p w14:paraId="153FBD94" w14:textId="01C73E0E" w:rsidR="004E549C" w:rsidRDefault="004E549C" w:rsidP="004E549C">
      <w:pPr>
        <w:spacing w:before="100" w:beforeAutospacing="1" w:after="100" w:afterAutospacing="1" w:line="240" w:lineRule="auto"/>
        <w:rPr>
          <w:rFonts w:ascii="Arial" w:eastAsia="Times New Roman" w:hAnsi="Arial" w:cs="Arial"/>
          <w:kern w:val="0"/>
          <w:sz w:val="24"/>
          <w:szCs w:val="24"/>
          <w:lang w:eastAsia="en-GB"/>
          <w14:ligatures w14:val="none"/>
        </w:rPr>
      </w:pPr>
      <w:r w:rsidRPr="004E549C">
        <w:rPr>
          <w:rFonts w:ascii="Arial" w:eastAsia="Times New Roman" w:hAnsi="Arial" w:cs="Arial"/>
          <w:kern w:val="0"/>
          <w:sz w:val="24"/>
          <w:szCs w:val="24"/>
          <w:lang w:eastAsia="en-GB"/>
          <w14:ligatures w14:val="none"/>
        </w:rPr>
        <w:t>•</w:t>
      </w:r>
      <w:r w:rsidRPr="004E549C">
        <w:rPr>
          <w:rFonts w:ascii="Arial" w:eastAsia="Times New Roman" w:hAnsi="Arial" w:cs="Arial"/>
          <w:kern w:val="0"/>
          <w:sz w:val="24"/>
          <w:szCs w:val="24"/>
          <w:lang w:eastAsia="en-GB"/>
          <w14:ligatures w14:val="none"/>
        </w:rPr>
        <w:tab/>
        <w:t>The Fiscal Mountain: The estimated gross cash cost of reaching Net Zero by 2050 is now projected to exceed £7 trillion. Attempting to fund this via taxation or borrowing alone is politically and economically unsustainable.</w:t>
      </w:r>
    </w:p>
    <w:p w14:paraId="34B750AF" w14:textId="77777777" w:rsidR="007B34AB" w:rsidRPr="007B34AB" w:rsidRDefault="007B34AB" w:rsidP="007B34AB">
      <w:pPr>
        <w:spacing w:before="100" w:beforeAutospacing="1" w:after="100" w:afterAutospacing="1" w:line="240" w:lineRule="auto"/>
        <w:rPr>
          <w:rFonts w:ascii="Arial" w:eastAsia="Times New Roman" w:hAnsi="Arial" w:cs="Arial"/>
          <w:kern w:val="0"/>
          <w:sz w:val="24"/>
          <w:szCs w:val="24"/>
          <w:lang w:eastAsia="en-GB"/>
          <w14:ligatures w14:val="none"/>
        </w:rPr>
      </w:pPr>
      <w:r w:rsidRPr="00B340AB">
        <w:rPr>
          <w:rFonts w:ascii="Arial" w:eastAsia="Times New Roman" w:hAnsi="Arial" w:cs="Arial"/>
          <w:b/>
          <w:bCs/>
          <w:color w:val="4472C4" w:themeColor="accent1"/>
          <w:kern w:val="0"/>
          <w:sz w:val="24"/>
          <w:szCs w:val="24"/>
          <w:lang w:eastAsia="en-GB"/>
          <w14:ligatures w14:val="none"/>
        </w:rPr>
        <w:lastRenderedPageBreak/>
        <w:t xml:space="preserve">The End </w:t>
      </w:r>
      <w:proofErr w:type="gramStart"/>
      <w:r w:rsidRPr="00B340AB">
        <w:rPr>
          <w:rFonts w:ascii="Arial" w:eastAsia="Times New Roman" w:hAnsi="Arial" w:cs="Arial"/>
          <w:b/>
          <w:bCs/>
          <w:color w:val="4472C4" w:themeColor="accent1"/>
          <w:kern w:val="0"/>
          <w:sz w:val="24"/>
          <w:szCs w:val="24"/>
          <w:lang w:eastAsia="en-GB"/>
          <w14:ligatures w14:val="none"/>
        </w:rPr>
        <w:t>Of</w:t>
      </w:r>
      <w:proofErr w:type="gramEnd"/>
      <w:r w:rsidRPr="00B340AB">
        <w:rPr>
          <w:rFonts w:ascii="Arial" w:eastAsia="Times New Roman" w:hAnsi="Arial" w:cs="Arial"/>
          <w:b/>
          <w:bCs/>
          <w:color w:val="4472C4" w:themeColor="accent1"/>
          <w:kern w:val="0"/>
          <w:sz w:val="24"/>
          <w:szCs w:val="24"/>
          <w:lang w:eastAsia="en-GB"/>
          <w14:ligatures w14:val="none"/>
        </w:rPr>
        <w:t xml:space="preserve"> </w:t>
      </w:r>
      <w:proofErr w:type="gramStart"/>
      <w:r w:rsidRPr="00B340AB">
        <w:rPr>
          <w:rFonts w:ascii="Arial" w:eastAsia="Times New Roman" w:hAnsi="Arial" w:cs="Arial"/>
          <w:b/>
          <w:bCs/>
          <w:color w:val="4472C4" w:themeColor="accent1"/>
          <w:kern w:val="0"/>
          <w:sz w:val="24"/>
          <w:szCs w:val="24"/>
          <w:lang w:eastAsia="en-GB"/>
          <w14:ligatures w14:val="none"/>
        </w:rPr>
        <w:t>The</w:t>
      </w:r>
      <w:proofErr w:type="gramEnd"/>
      <w:r w:rsidRPr="00B340AB">
        <w:rPr>
          <w:rFonts w:ascii="Arial" w:eastAsia="Times New Roman" w:hAnsi="Arial" w:cs="Arial"/>
          <w:b/>
          <w:bCs/>
          <w:color w:val="4472C4" w:themeColor="accent1"/>
          <w:kern w:val="0"/>
          <w:sz w:val="24"/>
          <w:szCs w:val="24"/>
          <w:lang w:eastAsia="en-GB"/>
          <w14:ligatures w14:val="none"/>
        </w:rPr>
        <w:t xml:space="preserve"> Stiff Upper Lip</w:t>
      </w:r>
      <w:r w:rsidRPr="00B340AB">
        <w:rPr>
          <w:rFonts w:ascii="Arial" w:eastAsia="Times New Roman" w:hAnsi="Arial" w:cs="Arial"/>
          <w:color w:val="4472C4" w:themeColor="accent1"/>
          <w:kern w:val="0"/>
          <w:sz w:val="24"/>
          <w:szCs w:val="24"/>
          <w:lang w:eastAsia="en-GB"/>
          <w14:ligatures w14:val="none"/>
        </w:rPr>
        <w:t xml:space="preserve">. </w:t>
      </w:r>
      <w:r w:rsidRPr="007B34AB">
        <w:rPr>
          <w:rFonts w:ascii="Arial" w:eastAsia="Times New Roman" w:hAnsi="Arial" w:cs="Arial"/>
          <w:kern w:val="0"/>
          <w:sz w:val="24"/>
          <w:szCs w:val="24"/>
          <w:lang w:eastAsia="en-GB"/>
          <w14:ligatures w14:val="none"/>
        </w:rPr>
        <w:t xml:space="preserve">Chris Philp has demanded that the Charity Commission shut the Islamic Centre of England, which he brands the hub of Iran's hostile state activity on British soil.  </w:t>
      </w:r>
    </w:p>
    <w:p w14:paraId="60680259" w14:textId="779F0DFB" w:rsidR="004E549C" w:rsidRDefault="007B34AB" w:rsidP="007B34AB">
      <w:pPr>
        <w:spacing w:before="100" w:beforeAutospacing="1" w:after="100" w:afterAutospacing="1" w:line="240" w:lineRule="auto"/>
        <w:rPr>
          <w:rFonts w:ascii="Arial" w:eastAsia="Times New Roman" w:hAnsi="Arial" w:cs="Arial"/>
          <w:kern w:val="0"/>
          <w:sz w:val="24"/>
          <w:szCs w:val="24"/>
          <w:lang w:eastAsia="en-GB"/>
          <w14:ligatures w14:val="none"/>
        </w:rPr>
      </w:pPr>
      <w:r w:rsidRPr="007B34AB">
        <w:rPr>
          <w:rFonts w:ascii="Arial" w:eastAsia="Times New Roman" w:hAnsi="Arial" w:cs="Arial"/>
          <w:kern w:val="0"/>
          <w:sz w:val="24"/>
          <w:szCs w:val="24"/>
          <w:lang w:eastAsia="en-GB"/>
          <w14:ligatures w14:val="none"/>
        </w:rPr>
        <w:t>An Islamic charity accused of being Iran's UK "nerve centre" for Iranian influence in the country is facing a demand for it to be shut down.</w:t>
      </w:r>
    </w:p>
    <w:p w14:paraId="0A585060" w14:textId="21DB6ACF" w:rsidR="007B34AB" w:rsidRDefault="007B34AB" w:rsidP="007B34AB">
      <w:pPr>
        <w:spacing w:before="100" w:beforeAutospacing="1" w:after="100" w:afterAutospacing="1" w:line="240" w:lineRule="auto"/>
        <w:rPr>
          <w:rFonts w:ascii="Arial" w:eastAsia="Times New Roman" w:hAnsi="Arial" w:cs="Arial"/>
          <w:kern w:val="0"/>
          <w:sz w:val="24"/>
          <w:szCs w:val="24"/>
          <w:lang w:eastAsia="en-GB"/>
          <w14:ligatures w14:val="none"/>
        </w:rPr>
      </w:pPr>
      <w:r w:rsidRPr="00B340AB">
        <w:rPr>
          <w:rFonts w:ascii="Arial" w:eastAsia="Times New Roman" w:hAnsi="Arial" w:cs="Arial"/>
          <w:b/>
          <w:bCs/>
          <w:color w:val="4472C4" w:themeColor="accent1"/>
          <w:kern w:val="0"/>
          <w:sz w:val="24"/>
          <w:szCs w:val="24"/>
          <w:lang w:eastAsia="en-GB"/>
          <w14:ligatures w14:val="none"/>
        </w:rPr>
        <w:t>The Great British Pension Paradox.</w:t>
      </w:r>
      <w:r w:rsidRPr="00B340AB">
        <w:rPr>
          <w:rFonts w:ascii="Arial" w:eastAsia="Times New Roman" w:hAnsi="Arial" w:cs="Arial"/>
          <w:color w:val="4472C4" w:themeColor="accent1"/>
          <w:kern w:val="0"/>
          <w:sz w:val="24"/>
          <w:szCs w:val="24"/>
          <w:lang w:eastAsia="en-GB"/>
          <w14:ligatures w14:val="none"/>
        </w:rPr>
        <w:t xml:space="preserve"> </w:t>
      </w:r>
      <w:r w:rsidRPr="007B34AB">
        <w:rPr>
          <w:rFonts w:ascii="Arial" w:eastAsia="Times New Roman" w:hAnsi="Arial" w:cs="Arial"/>
          <w:kern w:val="0"/>
          <w:sz w:val="24"/>
          <w:szCs w:val="24"/>
          <w:lang w:eastAsia="en-GB"/>
          <w14:ligatures w14:val="none"/>
        </w:rPr>
        <w:t>After 52 years of continuous National Insurance contributions, from the age of 16 to 68, one might expect a moment of clarity upon retirement. Instead, as we enter the 2026/27 tax year, millions of us are waking up to a legal and fiscal absurdity that I can only describe as "Circular Taxation."</w:t>
      </w:r>
    </w:p>
    <w:p w14:paraId="3C7BF20C" w14:textId="77777777" w:rsidR="007B34AB" w:rsidRPr="007B34AB" w:rsidRDefault="007B34AB" w:rsidP="007B34AB">
      <w:pPr>
        <w:spacing w:before="100" w:beforeAutospacing="1" w:after="100" w:afterAutospacing="1" w:line="240" w:lineRule="auto"/>
        <w:rPr>
          <w:rFonts w:ascii="Arial" w:eastAsia="Times New Roman" w:hAnsi="Arial" w:cs="Arial"/>
          <w:kern w:val="0"/>
          <w:sz w:val="24"/>
          <w:szCs w:val="24"/>
          <w:lang w:eastAsia="en-GB"/>
          <w14:ligatures w14:val="none"/>
        </w:rPr>
      </w:pPr>
      <w:r w:rsidRPr="00B340AB">
        <w:rPr>
          <w:rFonts w:ascii="Arial" w:eastAsia="Times New Roman" w:hAnsi="Arial" w:cs="Arial"/>
          <w:b/>
          <w:bCs/>
          <w:color w:val="4472C4" w:themeColor="accent1"/>
          <w:kern w:val="0"/>
          <w:sz w:val="24"/>
          <w:szCs w:val="24"/>
          <w:lang w:eastAsia="en-GB"/>
          <w14:ligatures w14:val="none"/>
        </w:rPr>
        <w:t>The Mandation Paradox.</w:t>
      </w:r>
      <w:r w:rsidRPr="00B340AB">
        <w:rPr>
          <w:rFonts w:ascii="Arial" w:eastAsia="Times New Roman" w:hAnsi="Arial" w:cs="Arial"/>
          <w:color w:val="4472C4" w:themeColor="accent1"/>
          <w:kern w:val="0"/>
          <w:sz w:val="24"/>
          <w:szCs w:val="24"/>
          <w:lang w:eastAsia="en-GB"/>
          <w14:ligatures w14:val="none"/>
        </w:rPr>
        <w:t xml:space="preserve"> </w:t>
      </w:r>
      <w:r w:rsidRPr="007B34AB">
        <w:rPr>
          <w:rFonts w:ascii="Arial" w:eastAsia="Times New Roman" w:hAnsi="Arial" w:cs="Arial"/>
          <w:kern w:val="0"/>
          <w:sz w:val="24"/>
          <w:szCs w:val="24"/>
          <w:lang w:eastAsia="en-GB"/>
          <w14:ligatures w14:val="none"/>
        </w:rPr>
        <w:t xml:space="preserve">The Pension Schemes Bill 2026 introduces "Reserve Powers" (Clause 40), allowing the Secretary of State to mandate asset allocations within workplace pension default funds. While framed as a tool for national economic growth. </w:t>
      </w:r>
    </w:p>
    <w:p w14:paraId="215F1F52" w14:textId="7A019238" w:rsidR="007B34AB" w:rsidRDefault="007B34AB" w:rsidP="007B34AB">
      <w:pPr>
        <w:spacing w:before="100" w:beforeAutospacing="1" w:after="100" w:afterAutospacing="1" w:line="240" w:lineRule="auto"/>
        <w:rPr>
          <w:rFonts w:ascii="Arial" w:eastAsia="Times New Roman" w:hAnsi="Arial" w:cs="Arial"/>
          <w:kern w:val="0"/>
          <w:sz w:val="24"/>
          <w:szCs w:val="24"/>
          <w:lang w:eastAsia="en-GB"/>
          <w14:ligatures w14:val="none"/>
        </w:rPr>
      </w:pPr>
      <w:r w:rsidRPr="007B34AB">
        <w:rPr>
          <w:rFonts w:ascii="Arial" w:eastAsia="Times New Roman" w:hAnsi="Arial" w:cs="Arial"/>
          <w:kern w:val="0"/>
          <w:sz w:val="24"/>
          <w:szCs w:val="24"/>
          <w:lang w:eastAsia="en-GB"/>
          <w14:ligatures w14:val="none"/>
        </w:rPr>
        <w:t>This research note identifies a fundamental misalignment between government macroeconomic objectives and the individual fiduciary duty owed to pension members, particularly those in the "life styling" phase near retirement.</w:t>
      </w:r>
    </w:p>
    <w:p w14:paraId="7EFE9709" w14:textId="0C164925" w:rsidR="007B34AB" w:rsidRDefault="007B34AB" w:rsidP="007B34AB">
      <w:pPr>
        <w:spacing w:before="100" w:beforeAutospacing="1" w:after="100" w:afterAutospacing="1" w:line="240" w:lineRule="auto"/>
        <w:rPr>
          <w:rFonts w:ascii="Arial" w:eastAsia="Times New Roman" w:hAnsi="Arial" w:cs="Arial"/>
          <w:kern w:val="0"/>
          <w:sz w:val="24"/>
          <w:szCs w:val="24"/>
          <w:lang w:eastAsia="en-GB"/>
          <w14:ligatures w14:val="none"/>
        </w:rPr>
      </w:pPr>
      <w:r w:rsidRPr="004F04C0">
        <w:rPr>
          <w:rFonts w:ascii="Arial" w:eastAsia="Times New Roman" w:hAnsi="Arial" w:cs="Arial"/>
          <w:b/>
          <w:bCs/>
          <w:color w:val="4472C4" w:themeColor="accent1"/>
          <w:kern w:val="0"/>
          <w:sz w:val="24"/>
          <w:szCs w:val="24"/>
          <w:lang w:eastAsia="en-GB"/>
          <w14:ligatures w14:val="none"/>
        </w:rPr>
        <w:t>The Mask of Moderation.</w:t>
      </w:r>
      <w:r w:rsidRPr="004F04C0">
        <w:rPr>
          <w:rFonts w:ascii="Arial" w:eastAsia="Times New Roman" w:hAnsi="Arial" w:cs="Arial"/>
          <w:color w:val="4472C4" w:themeColor="accent1"/>
          <w:kern w:val="0"/>
          <w:sz w:val="24"/>
          <w:szCs w:val="24"/>
          <w:lang w:eastAsia="en-GB"/>
          <w14:ligatures w14:val="none"/>
        </w:rPr>
        <w:t xml:space="preserve"> </w:t>
      </w:r>
      <w:r w:rsidRPr="007B34AB">
        <w:rPr>
          <w:rFonts w:ascii="Arial" w:eastAsia="Times New Roman" w:hAnsi="Arial" w:cs="Arial"/>
          <w:kern w:val="0"/>
          <w:sz w:val="24"/>
          <w:szCs w:val="24"/>
          <w:lang w:eastAsia="en-GB"/>
          <w14:ligatures w14:val="none"/>
        </w:rPr>
        <w:t>This paper investigates the persistent disconnect between the Muslim Brotherhood’s (MB) public-facing moderate rhetoric and its operational commitment to its 1928 founding credo.</w:t>
      </w:r>
    </w:p>
    <w:p w14:paraId="468CDE25" w14:textId="77777777" w:rsidR="007B34AB" w:rsidRPr="007B34AB" w:rsidRDefault="007B34AB" w:rsidP="007B34AB">
      <w:pPr>
        <w:spacing w:before="100" w:beforeAutospacing="1" w:after="100" w:afterAutospacing="1" w:line="240" w:lineRule="auto"/>
        <w:rPr>
          <w:rFonts w:ascii="Arial" w:eastAsia="Times New Roman" w:hAnsi="Arial" w:cs="Arial"/>
          <w:kern w:val="0"/>
          <w:sz w:val="24"/>
          <w:szCs w:val="24"/>
          <w:lang w:eastAsia="en-GB"/>
          <w14:ligatures w14:val="none"/>
        </w:rPr>
      </w:pPr>
      <w:r w:rsidRPr="004F04C0">
        <w:rPr>
          <w:rFonts w:ascii="Arial" w:eastAsia="Times New Roman" w:hAnsi="Arial" w:cs="Arial"/>
          <w:b/>
          <w:bCs/>
          <w:color w:val="4472C4" w:themeColor="accent1"/>
          <w:kern w:val="0"/>
          <w:sz w:val="24"/>
          <w:szCs w:val="24"/>
          <w:lang w:eastAsia="en-GB"/>
          <w14:ligatures w14:val="none"/>
        </w:rPr>
        <w:t>The Monarchy’s Last Stand.</w:t>
      </w:r>
      <w:r w:rsidRPr="004F04C0">
        <w:rPr>
          <w:rFonts w:ascii="Arial" w:eastAsia="Times New Roman" w:hAnsi="Arial" w:cs="Arial"/>
          <w:color w:val="4472C4" w:themeColor="accent1"/>
          <w:kern w:val="0"/>
          <w:sz w:val="24"/>
          <w:szCs w:val="24"/>
          <w:lang w:eastAsia="en-GB"/>
          <w14:ligatures w14:val="none"/>
        </w:rPr>
        <w:t xml:space="preserve"> </w:t>
      </w:r>
      <w:r w:rsidRPr="007B34AB">
        <w:rPr>
          <w:rFonts w:ascii="Arial" w:eastAsia="Times New Roman" w:hAnsi="Arial" w:cs="Arial"/>
          <w:kern w:val="0"/>
          <w:sz w:val="24"/>
          <w:szCs w:val="24"/>
          <w:lang w:eastAsia="en-GB"/>
          <w14:ligatures w14:val="none"/>
        </w:rPr>
        <w:t>As the "Supreme Governor" of the Church of England, the King’s power is primarily symbolic and ceremonial rather than executive; he doesn't have the authority to unilaterally rewrite doctrine or "fix" the church like a CEO. However, he has spent decades using his platform to nudge the Church and Western society toward the "integral" worldview he feels has been lost.</w:t>
      </w:r>
    </w:p>
    <w:p w14:paraId="0C3E1902" w14:textId="349A7FEE" w:rsidR="007B34AB" w:rsidRDefault="007B34AB" w:rsidP="007B34AB">
      <w:pPr>
        <w:spacing w:before="100" w:beforeAutospacing="1" w:after="100" w:afterAutospacing="1" w:line="240" w:lineRule="auto"/>
        <w:rPr>
          <w:rFonts w:ascii="Arial" w:eastAsia="Times New Roman" w:hAnsi="Arial" w:cs="Arial"/>
          <w:kern w:val="0"/>
          <w:sz w:val="24"/>
          <w:szCs w:val="24"/>
          <w:lang w:eastAsia="en-GB"/>
          <w14:ligatures w14:val="none"/>
        </w:rPr>
      </w:pPr>
      <w:r w:rsidRPr="007B34AB">
        <w:rPr>
          <w:rFonts w:ascii="Arial" w:eastAsia="Times New Roman" w:hAnsi="Arial" w:cs="Arial"/>
          <w:kern w:val="0"/>
          <w:sz w:val="24"/>
          <w:szCs w:val="24"/>
          <w:lang w:eastAsia="en-GB"/>
          <w14:ligatures w14:val="none"/>
        </w:rPr>
        <w:t>Here are the specific ways he has attempted to remedy the perceived shortcomings of British society</w:t>
      </w:r>
      <w:r>
        <w:rPr>
          <w:rFonts w:ascii="Arial" w:eastAsia="Times New Roman" w:hAnsi="Arial" w:cs="Arial"/>
          <w:kern w:val="0"/>
          <w:sz w:val="24"/>
          <w:szCs w:val="24"/>
          <w:lang w:eastAsia="en-GB"/>
          <w14:ligatures w14:val="none"/>
        </w:rPr>
        <w:t>.</w:t>
      </w:r>
    </w:p>
    <w:p w14:paraId="4B55DE2E" w14:textId="7B2B7B57" w:rsidR="007B34AB" w:rsidRDefault="001130FA" w:rsidP="007B34AB">
      <w:pPr>
        <w:spacing w:before="100" w:beforeAutospacing="1" w:after="100" w:afterAutospacing="1" w:line="240" w:lineRule="auto"/>
        <w:rPr>
          <w:rFonts w:ascii="Arial" w:eastAsia="Times New Roman" w:hAnsi="Arial" w:cs="Arial"/>
          <w:kern w:val="0"/>
          <w:sz w:val="24"/>
          <w:szCs w:val="24"/>
          <w:lang w:eastAsia="en-GB"/>
          <w14:ligatures w14:val="none"/>
        </w:rPr>
      </w:pPr>
      <w:r w:rsidRPr="004F04C0">
        <w:rPr>
          <w:rFonts w:ascii="Arial" w:eastAsia="Times New Roman" w:hAnsi="Arial" w:cs="Arial"/>
          <w:b/>
          <w:bCs/>
          <w:color w:val="4472C4" w:themeColor="accent1"/>
          <w:kern w:val="0"/>
          <w:sz w:val="24"/>
          <w:szCs w:val="24"/>
          <w:lang w:eastAsia="en-GB"/>
          <w14:ligatures w14:val="none"/>
        </w:rPr>
        <w:t xml:space="preserve">The </w:t>
      </w:r>
      <w:r w:rsidRPr="004F04C0">
        <w:rPr>
          <w:rFonts w:ascii="Arial" w:eastAsia="Times New Roman" w:hAnsi="Arial" w:cs="Arial"/>
          <w:b/>
          <w:bCs/>
          <w:i/>
          <w:iCs/>
          <w:color w:val="4472C4" w:themeColor="accent1"/>
          <w:kern w:val="0"/>
          <w:sz w:val="24"/>
          <w:szCs w:val="24"/>
          <w:lang w:eastAsia="en-GB"/>
          <w14:ligatures w14:val="none"/>
        </w:rPr>
        <w:t>NISTA</w:t>
      </w:r>
      <w:r w:rsidRPr="004F04C0">
        <w:rPr>
          <w:rFonts w:ascii="Arial" w:eastAsia="Times New Roman" w:hAnsi="Arial" w:cs="Arial"/>
          <w:b/>
          <w:bCs/>
          <w:color w:val="4472C4" w:themeColor="accent1"/>
          <w:kern w:val="0"/>
          <w:sz w:val="24"/>
          <w:szCs w:val="24"/>
          <w:lang w:eastAsia="en-GB"/>
          <w14:ligatures w14:val="none"/>
        </w:rPr>
        <w:t xml:space="preserve"> Pivot.</w:t>
      </w:r>
      <w:r w:rsidRPr="004F04C0">
        <w:rPr>
          <w:rFonts w:ascii="Arial" w:eastAsia="Times New Roman" w:hAnsi="Arial" w:cs="Arial"/>
          <w:color w:val="4472C4" w:themeColor="accent1"/>
          <w:kern w:val="0"/>
          <w:sz w:val="24"/>
          <w:szCs w:val="24"/>
          <w:lang w:eastAsia="en-GB"/>
          <w14:ligatures w14:val="none"/>
        </w:rPr>
        <w:t xml:space="preserve"> </w:t>
      </w:r>
      <w:r w:rsidRPr="001130FA">
        <w:rPr>
          <w:rFonts w:ascii="Arial" w:eastAsia="Times New Roman" w:hAnsi="Arial" w:cs="Arial"/>
          <w:kern w:val="0"/>
          <w:sz w:val="24"/>
          <w:szCs w:val="24"/>
          <w:lang w:eastAsia="en-GB"/>
          <w14:ligatures w14:val="none"/>
        </w:rPr>
        <w:t>This paper examines the launch and first-year performance of the National Infrastructure and Service Transformation Authority (</w:t>
      </w:r>
      <w:r w:rsidRPr="001130FA">
        <w:rPr>
          <w:rFonts w:ascii="Arial" w:eastAsia="Times New Roman" w:hAnsi="Arial" w:cs="Arial"/>
          <w:i/>
          <w:iCs/>
          <w:kern w:val="0"/>
          <w:sz w:val="24"/>
          <w:szCs w:val="24"/>
          <w:lang w:eastAsia="en-GB"/>
          <w14:ligatures w14:val="none"/>
        </w:rPr>
        <w:t>NISTA</w:t>
      </w:r>
      <w:r w:rsidRPr="001130FA">
        <w:rPr>
          <w:rFonts w:ascii="Arial" w:eastAsia="Times New Roman" w:hAnsi="Arial" w:cs="Arial"/>
          <w:kern w:val="0"/>
          <w:sz w:val="24"/>
          <w:szCs w:val="24"/>
          <w:lang w:eastAsia="en-GB"/>
          <w14:ligatures w14:val="none"/>
        </w:rPr>
        <w:t>). Established on April 1, 2025,</w:t>
      </w:r>
      <w:r w:rsidRPr="001130FA">
        <w:rPr>
          <w:rFonts w:ascii="Arial" w:eastAsia="Times New Roman" w:hAnsi="Arial" w:cs="Arial"/>
          <w:i/>
          <w:iCs/>
          <w:kern w:val="0"/>
          <w:sz w:val="24"/>
          <w:szCs w:val="24"/>
          <w:lang w:eastAsia="en-GB"/>
          <w14:ligatures w14:val="none"/>
        </w:rPr>
        <w:t xml:space="preserve"> NISTA</w:t>
      </w:r>
      <w:r w:rsidRPr="001130FA">
        <w:rPr>
          <w:rFonts w:ascii="Arial" w:eastAsia="Times New Roman" w:hAnsi="Arial" w:cs="Arial"/>
          <w:kern w:val="0"/>
          <w:sz w:val="24"/>
          <w:szCs w:val="24"/>
          <w:lang w:eastAsia="en-GB"/>
          <w14:ligatures w14:val="none"/>
        </w:rPr>
        <w:t xml:space="preserve"> represents a fundamental shift in the UK's constitutional landscape—moving infrastructure from an independent advisory model to a centralised executive function within HM Treasury. While the "transparency" of public data has increased through the launch of the £718 billion Infrastructure Pipeline, this visibility has been traded for a significant loss of independent institutional challenge. The paper concludes that such "Machinery of Government" changes function as a powerful lever for the incumbent party to define, fund, and protect its political "missions" at the taxpayer's expense.</w:t>
      </w:r>
    </w:p>
    <w:p w14:paraId="62C78784" w14:textId="529531DA" w:rsidR="001130FA" w:rsidRDefault="001130FA" w:rsidP="007B34AB">
      <w:pPr>
        <w:spacing w:before="100" w:beforeAutospacing="1" w:after="100" w:afterAutospacing="1" w:line="240" w:lineRule="auto"/>
        <w:rPr>
          <w:rFonts w:ascii="Arial" w:eastAsia="Times New Roman" w:hAnsi="Arial" w:cs="Arial"/>
          <w:kern w:val="0"/>
          <w:sz w:val="24"/>
          <w:szCs w:val="24"/>
          <w:lang w:eastAsia="en-GB"/>
          <w14:ligatures w14:val="none"/>
        </w:rPr>
      </w:pPr>
      <w:r w:rsidRPr="004F04C0">
        <w:rPr>
          <w:rFonts w:ascii="Arial" w:eastAsia="Times New Roman" w:hAnsi="Arial" w:cs="Arial"/>
          <w:b/>
          <w:bCs/>
          <w:color w:val="4472C4" w:themeColor="accent1"/>
          <w:kern w:val="0"/>
          <w:sz w:val="24"/>
          <w:szCs w:val="24"/>
          <w:lang w:eastAsia="en-GB"/>
          <w14:ligatures w14:val="none"/>
        </w:rPr>
        <w:t>The Secret Talent Pool</w:t>
      </w:r>
      <w:r w:rsidRPr="001130FA">
        <w:rPr>
          <w:rFonts w:ascii="Arial" w:eastAsia="Times New Roman" w:hAnsi="Arial" w:cs="Arial"/>
          <w:b/>
          <w:bCs/>
          <w:kern w:val="0"/>
          <w:sz w:val="24"/>
          <w:szCs w:val="24"/>
          <w:lang w:eastAsia="en-GB"/>
          <w14:ligatures w14:val="none"/>
        </w:rPr>
        <w:t>.</w:t>
      </w:r>
      <w:r>
        <w:rPr>
          <w:rFonts w:ascii="Arial" w:eastAsia="Times New Roman" w:hAnsi="Arial" w:cs="Arial"/>
          <w:kern w:val="0"/>
          <w:sz w:val="24"/>
          <w:szCs w:val="24"/>
          <w:lang w:eastAsia="en-GB"/>
          <w14:ligatures w14:val="none"/>
        </w:rPr>
        <w:t xml:space="preserve"> </w:t>
      </w:r>
      <w:r w:rsidRPr="001130FA">
        <w:rPr>
          <w:rFonts w:ascii="Arial" w:eastAsia="Times New Roman" w:hAnsi="Arial" w:cs="Arial"/>
          <w:kern w:val="0"/>
          <w:sz w:val="24"/>
          <w:szCs w:val="24"/>
          <w:lang w:eastAsia="en-GB"/>
          <w14:ligatures w14:val="none"/>
        </w:rPr>
        <w:t>Illegal/irregular/overstaying migrants, often described as economic migrants, many of whom work in the grey market, are usually vilified. Their commitment to working, albeit illegally, suggests they may actually be an asset that we are overlooking.</w:t>
      </w:r>
    </w:p>
    <w:p w14:paraId="57FB7105" w14:textId="77777777" w:rsidR="001130FA" w:rsidRPr="001130FA" w:rsidRDefault="001130FA" w:rsidP="001130FA">
      <w:pPr>
        <w:spacing w:before="100" w:beforeAutospacing="1" w:after="100" w:afterAutospacing="1" w:line="240" w:lineRule="auto"/>
        <w:rPr>
          <w:rFonts w:ascii="Arial" w:eastAsia="Times New Roman" w:hAnsi="Arial" w:cs="Arial"/>
          <w:kern w:val="0"/>
          <w:sz w:val="24"/>
          <w:szCs w:val="24"/>
          <w:lang w:eastAsia="en-GB"/>
          <w14:ligatures w14:val="none"/>
        </w:rPr>
      </w:pPr>
      <w:r w:rsidRPr="004F04C0">
        <w:rPr>
          <w:rFonts w:ascii="Arial" w:eastAsia="Times New Roman" w:hAnsi="Arial" w:cs="Arial"/>
          <w:b/>
          <w:bCs/>
          <w:color w:val="4472C4" w:themeColor="accent1"/>
          <w:kern w:val="0"/>
          <w:sz w:val="24"/>
          <w:szCs w:val="24"/>
          <w:lang w:eastAsia="en-GB"/>
          <w14:ligatures w14:val="none"/>
        </w:rPr>
        <w:lastRenderedPageBreak/>
        <w:t>The Sovereignty of Identity</w:t>
      </w:r>
      <w:r w:rsidRPr="001130FA">
        <w:rPr>
          <w:rFonts w:ascii="Arial" w:eastAsia="Times New Roman" w:hAnsi="Arial" w:cs="Arial"/>
          <w:b/>
          <w:bCs/>
          <w:kern w:val="0"/>
          <w:sz w:val="24"/>
          <w:szCs w:val="24"/>
          <w:lang w:eastAsia="en-GB"/>
          <w14:ligatures w14:val="none"/>
        </w:rPr>
        <w:t>.</w:t>
      </w:r>
      <w:r>
        <w:rPr>
          <w:rFonts w:ascii="Arial" w:eastAsia="Times New Roman" w:hAnsi="Arial" w:cs="Arial"/>
          <w:kern w:val="0"/>
          <w:sz w:val="24"/>
          <w:szCs w:val="24"/>
          <w:lang w:eastAsia="en-GB"/>
          <w14:ligatures w14:val="none"/>
        </w:rPr>
        <w:t xml:space="preserve"> </w:t>
      </w:r>
      <w:r w:rsidRPr="001130FA">
        <w:rPr>
          <w:rFonts w:ascii="Arial" w:eastAsia="Times New Roman" w:hAnsi="Arial" w:cs="Arial"/>
          <w:kern w:val="0"/>
          <w:sz w:val="24"/>
          <w:szCs w:val="24"/>
          <w:lang w:eastAsia="en-GB"/>
          <w14:ligatures w14:val="none"/>
        </w:rPr>
        <w:t xml:space="preserve">The United Kingdom is currently experiencing a "High-Friction" era characterised by declining social trust, religious fragmentation, and a perceived vacuum in national leadership. </w:t>
      </w:r>
    </w:p>
    <w:p w14:paraId="642BA6BA" w14:textId="77777777" w:rsidR="001130FA" w:rsidRPr="001130FA" w:rsidRDefault="001130FA" w:rsidP="001130FA">
      <w:pPr>
        <w:spacing w:before="100" w:beforeAutospacing="1" w:after="100" w:afterAutospacing="1" w:line="240" w:lineRule="auto"/>
        <w:rPr>
          <w:rFonts w:ascii="Arial" w:eastAsia="Times New Roman" w:hAnsi="Arial" w:cs="Arial"/>
          <w:kern w:val="0"/>
          <w:sz w:val="24"/>
          <w:szCs w:val="24"/>
          <w:lang w:eastAsia="en-GB"/>
          <w14:ligatures w14:val="none"/>
        </w:rPr>
      </w:pPr>
      <w:r w:rsidRPr="001130FA">
        <w:rPr>
          <w:rFonts w:ascii="Arial" w:eastAsia="Times New Roman" w:hAnsi="Arial" w:cs="Arial"/>
          <w:kern w:val="0"/>
          <w:sz w:val="24"/>
          <w:szCs w:val="24"/>
          <w:lang w:eastAsia="en-GB"/>
          <w14:ligatures w14:val="none"/>
        </w:rPr>
        <w:t xml:space="preserve">This paper examines the divergence between the "Inclusive" model of King Charles III and the "Restorative" models of Poland and the UAE. </w:t>
      </w:r>
    </w:p>
    <w:p w14:paraId="492443BE" w14:textId="79A82C92" w:rsidR="001130FA" w:rsidRDefault="001130FA" w:rsidP="001130FA">
      <w:pPr>
        <w:spacing w:before="100" w:beforeAutospacing="1" w:after="100" w:afterAutospacing="1" w:line="240" w:lineRule="auto"/>
        <w:rPr>
          <w:rFonts w:ascii="Arial" w:eastAsia="Times New Roman" w:hAnsi="Arial" w:cs="Arial"/>
          <w:kern w:val="0"/>
          <w:sz w:val="24"/>
          <w:szCs w:val="24"/>
          <w:lang w:eastAsia="en-GB"/>
          <w14:ligatures w14:val="none"/>
        </w:rPr>
      </w:pPr>
      <w:r w:rsidRPr="001130FA">
        <w:rPr>
          <w:rFonts w:ascii="Arial" w:eastAsia="Times New Roman" w:hAnsi="Arial" w:cs="Arial"/>
          <w:kern w:val="0"/>
          <w:sz w:val="24"/>
          <w:szCs w:val="24"/>
          <w:lang w:eastAsia="en-GB"/>
          <w14:ligatures w14:val="none"/>
        </w:rPr>
        <w:t>It concludes that the future of the British Monarchy depends on whether the Crown acts as a pluralistic referee or a national anchor.</w:t>
      </w:r>
    </w:p>
    <w:p w14:paraId="24FF0D3C" w14:textId="411740DA" w:rsidR="001130FA" w:rsidRDefault="001130FA" w:rsidP="001130FA">
      <w:pPr>
        <w:spacing w:before="100" w:beforeAutospacing="1" w:after="100" w:afterAutospacing="1" w:line="240" w:lineRule="auto"/>
        <w:rPr>
          <w:rFonts w:ascii="Arial" w:eastAsia="Times New Roman" w:hAnsi="Arial" w:cs="Arial"/>
          <w:kern w:val="0"/>
          <w:sz w:val="24"/>
          <w:szCs w:val="24"/>
          <w:lang w:eastAsia="en-GB"/>
          <w14:ligatures w14:val="none"/>
        </w:rPr>
      </w:pPr>
      <w:r w:rsidRPr="004F04C0">
        <w:rPr>
          <w:rFonts w:ascii="Arial" w:eastAsia="Times New Roman" w:hAnsi="Arial" w:cs="Arial"/>
          <w:b/>
          <w:bCs/>
          <w:color w:val="4472C4" w:themeColor="accent1"/>
          <w:kern w:val="0"/>
          <w:sz w:val="24"/>
          <w:szCs w:val="24"/>
          <w:lang w:eastAsia="en-GB"/>
          <w14:ligatures w14:val="none"/>
        </w:rPr>
        <w:t>VAWG.</w:t>
      </w:r>
      <w:r w:rsidRPr="004F04C0">
        <w:rPr>
          <w:rFonts w:ascii="Arial" w:eastAsia="Times New Roman" w:hAnsi="Arial" w:cs="Arial"/>
          <w:color w:val="4472C4" w:themeColor="accent1"/>
          <w:kern w:val="0"/>
          <w:sz w:val="24"/>
          <w:szCs w:val="24"/>
          <w:lang w:eastAsia="en-GB"/>
          <w14:ligatures w14:val="none"/>
        </w:rPr>
        <w:t xml:space="preserve"> </w:t>
      </w:r>
      <w:r w:rsidRPr="001130FA">
        <w:rPr>
          <w:rFonts w:ascii="Arial" w:eastAsia="Times New Roman" w:hAnsi="Arial" w:cs="Arial"/>
          <w:kern w:val="0"/>
          <w:sz w:val="24"/>
          <w:szCs w:val="24"/>
          <w:lang w:eastAsia="en-GB"/>
          <w14:ligatures w14:val="none"/>
        </w:rPr>
        <w:t>Recent government statements and policy announcements have characterised Violence Against Women and Girls (VAWG) as a national emergency, with proposals, including those outlined by the Minister for Safeguarding and Violence Against Women and Girls, Ms Jess Phillips MP, to introduce educational programmes aimed specifically at boys, focusing on awareness of the impact of VAWG.</w:t>
      </w:r>
    </w:p>
    <w:p w14:paraId="43214D12" w14:textId="5C2B6F27" w:rsidR="001130FA" w:rsidRDefault="001130FA" w:rsidP="001130FA">
      <w:pPr>
        <w:spacing w:before="100" w:beforeAutospacing="1" w:after="100" w:afterAutospacing="1" w:line="240" w:lineRule="auto"/>
        <w:rPr>
          <w:rFonts w:ascii="Arial" w:eastAsia="Times New Roman" w:hAnsi="Arial" w:cs="Arial"/>
          <w:kern w:val="0"/>
          <w:sz w:val="24"/>
          <w:szCs w:val="24"/>
          <w:lang w:eastAsia="en-GB"/>
          <w14:ligatures w14:val="none"/>
        </w:rPr>
      </w:pPr>
      <w:r w:rsidRPr="004F04C0">
        <w:rPr>
          <w:rFonts w:ascii="Arial" w:eastAsia="Times New Roman" w:hAnsi="Arial" w:cs="Arial"/>
          <w:b/>
          <w:bCs/>
          <w:color w:val="4472C4" w:themeColor="accent1"/>
          <w:kern w:val="0"/>
          <w:sz w:val="24"/>
          <w:szCs w:val="24"/>
          <w:lang w:eastAsia="en-GB"/>
          <w14:ligatures w14:val="none"/>
        </w:rPr>
        <w:t>Voting System Reform.</w:t>
      </w:r>
      <w:r w:rsidRPr="004F04C0">
        <w:rPr>
          <w:rFonts w:ascii="Arial" w:eastAsia="Times New Roman" w:hAnsi="Arial" w:cs="Arial"/>
          <w:color w:val="4472C4" w:themeColor="accent1"/>
          <w:kern w:val="0"/>
          <w:sz w:val="24"/>
          <w:szCs w:val="24"/>
          <w:lang w:eastAsia="en-GB"/>
          <w14:ligatures w14:val="none"/>
        </w:rPr>
        <w:t xml:space="preserve"> </w:t>
      </w:r>
      <w:r w:rsidRPr="001130FA">
        <w:rPr>
          <w:rFonts w:ascii="Arial" w:eastAsia="Times New Roman" w:hAnsi="Arial" w:cs="Arial"/>
          <w:kern w:val="0"/>
          <w:sz w:val="24"/>
          <w:szCs w:val="24"/>
          <w:lang w:eastAsia="en-GB"/>
          <w14:ligatures w14:val="none"/>
        </w:rPr>
        <w:t>This paper evaluates the principal voting system options available, including First Past the Post, proportional representation variants, hybrid models, and a national manifesto-based proportional system. It also examines a structural model in which national proportional representation is combined with strengthened devolved local governance, including elected mayors and empowered councils, to preserve geographic accountability.</w:t>
      </w:r>
    </w:p>
    <w:p w14:paraId="1D647D4D" w14:textId="77777777" w:rsidR="001130FA" w:rsidRPr="001130FA" w:rsidRDefault="001130FA" w:rsidP="001130FA">
      <w:pPr>
        <w:spacing w:before="100" w:beforeAutospacing="1" w:after="100" w:afterAutospacing="1" w:line="240" w:lineRule="auto"/>
        <w:rPr>
          <w:rFonts w:ascii="Arial" w:eastAsia="Times New Roman" w:hAnsi="Arial" w:cs="Arial"/>
          <w:kern w:val="0"/>
          <w:sz w:val="24"/>
          <w:szCs w:val="24"/>
          <w:lang w:eastAsia="en-GB"/>
          <w14:ligatures w14:val="none"/>
        </w:rPr>
      </w:pPr>
      <w:r>
        <w:rPr>
          <w:rFonts w:ascii="Arial" w:eastAsia="Times New Roman" w:hAnsi="Arial" w:cs="Arial"/>
          <w:kern w:val="0"/>
          <w:sz w:val="24"/>
          <w:szCs w:val="24"/>
          <w:lang w:eastAsia="en-GB"/>
          <w14:ligatures w14:val="none"/>
        </w:rPr>
        <w:t xml:space="preserve">Wealth Inequality. </w:t>
      </w:r>
      <w:r w:rsidRPr="001130FA">
        <w:rPr>
          <w:rFonts w:ascii="Arial" w:eastAsia="Times New Roman" w:hAnsi="Arial" w:cs="Arial"/>
          <w:kern w:val="0"/>
          <w:sz w:val="24"/>
          <w:szCs w:val="24"/>
          <w:lang w:eastAsia="en-GB"/>
          <w14:ligatures w14:val="none"/>
        </w:rPr>
        <w:t>Public debate frequently returns to a central moral and economic question: is it fair or justifiable for a relatively small number of individuals to hold extremely large concentrations of wealth while many others experience deprivation? From this question flow a number of policy proposals, profit margin controls, wealth caps, forced redistribution, and global equalisation of purchasing power.</w:t>
      </w:r>
    </w:p>
    <w:p w14:paraId="77B2AB00" w14:textId="3327AA6C" w:rsidR="001130FA" w:rsidRDefault="001130FA" w:rsidP="001130FA">
      <w:pPr>
        <w:spacing w:before="100" w:beforeAutospacing="1" w:after="100" w:afterAutospacing="1" w:line="240" w:lineRule="auto"/>
        <w:rPr>
          <w:rFonts w:ascii="Arial" w:eastAsia="Times New Roman" w:hAnsi="Arial" w:cs="Arial"/>
          <w:kern w:val="0"/>
          <w:sz w:val="24"/>
          <w:szCs w:val="24"/>
          <w:lang w:eastAsia="en-GB"/>
          <w14:ligatures w14:val="none"/>
        </w:rPr>
      </w:pPr>
      <w:r w:rsidRPr="001130FA">
        <w:rPr>
          <w:rFonts w:ascii="Arial" w:eastAsia="Times New Roman" w:hAnsi="Arial" w:cs="Arial"/>
          <w:kern w:val="0"/>
          <w:sz w:val="24"/>
          <w:szCs w:val="24"/>
          <w:lang w:eastAsia="en-GB"/>
          <w14:ligatures w14:val="none"/>
        </w:rPr>
        <w:t>This briefing evaluates these proposals using economic mechanics, moral frameworks, and institutional realism.</w:t>
      </w:r>
    </w:p>
    <w:p w14:paraId="093A1060" w14:textId="4375C754" w:rsidR="001130FA" w:rsidRDefault="007007A3" w:rsidP="001130FA">
      <w:pPr>
        <w:spacing w:before="100" w:beforeAutospacing="1" w:after="100" w:afterAutospacing="1" w:line="240" w:lineRule="auto"/>
        <w:rPr>
          <w:rFonts w:ascii="Arial" w:eastAsia="Times New Roman" w:hAnsi="Arial" w:cs="Arial"/>
          <w:kern w:val="0"/>
          <w:sz w:val="24"/>
          <w:szCs w:val="24"/>
          <w:lang w:eastAsia="en-GB"/>
          <w14:ligatures w14:val="none"/>
        </w:rPr>
      </w:pPr>
      <w:r w:rsidRPr="004F04C0">
        <w:rPr>
          <w:rFonts w:ascii="Arial" w:eastAsia="Times New Roman" w:hAnsi="Arial" w:cs="Arial"/>
          <w:b/>
          <w:bCs/>
          <w:color w:val="4472C4" w:themeColor="accent1"/>
          <w:kern w:val="0"/>
          <w:sz w:val="24"/>
          <w:szCs w:val="24"/>
          <w:lang w:eastAsia="en-GB"/>
          <w14:ligatures w14:val="none"/>
        </w:rPr>
        <w:t>Whip Reform</w:t>
      </w:r>
      <w:r w:rsidRPr="007007A3">
        <w:rPr>
          <w:rFonts w:ascii="Arial" w:eastAsia="Times New Roman" w:hAnsi="Arial" w:cs="Arial"/>
          <w:b/>
          <w:bCs/>
          <w:kern w:val="0"/>
          <w:sz w:val="24"/>
          <w:szCs w:val="24"/>
          <w:lang w:eastAsia="en-GB"/>
          <w14:ligatures w14:val="none"/>
        </w:rPr>
        <w:t>.</w:t>
      </w:r>
      <w:r>
        <w:rPr>
          <w:rFonts w:ascii="Arial" w:eastAsia="Times New Roman" w:hAnsi="Arial" w:cs="Arial"/>
          <w:kern w:val="0"/>
          <w:sz w:val="24"/>
          <w:szCs w:val="24"/>
          <w:lang w:eastAsia="en-GB"/>
          <w14:ligatures w14:val="none"/>
        </w:rPr>
        <w:t xml:space="preserve"> </w:t>
      </w:r>
      <w:r w:rsidRPr="007007A3">
        <w:rPr>
          <w:rFonts w:ascii="Arial" w:eastAsia="Times New Roman" w:hAnsi="Arial" w:cs="Arial"/>
          <w:kern w:val="0"/>
          <w:sz w:val="24"/>
          <w:szCs w:val="24"/>
          <w:lang w:eastAsia="en-GB"/>
          <w14:ligatures w14:val="none"/>
        </w:rPr>
        <w:t>The parliamentary whip system is a long-standing mechanism used within the UK Parliament to maintain party discipline, coordinate legislative voting, and support the delivery of government business. Its defenders argue that it is essential for legislative stability, manifesto implementation, and effective governance. Its critics contend that modern whip practices may at times constrain representative independence, reduce transparency, and weaken the visible link between constituents and parliamentary voting behaviour.</w:t>
      </w:r>
    </w:p>
    <w:p w14:paraId="7D23898C" w14:textId="20B76B32" w:rsidR="00C41897" w:rsidRDefault="00D1283B" w:rsidP="001130FA">
      <w:pPr>
        <w:spacing w:before="100" w:beforeAutospacing="1" w:after="100" w:afterAutospacing="1" w:line="240" w:lineRule="auto"/>
        <w:rPr>
          <w:rFonts w:ascii="Arial" w:eastAsia="Times New Roman" w:hAnsi="Arial" w:cs="Arial"/>
          <w:kern w:val="0"/>
          <w:sz w:val="24"/>
          <w:szCs w:val="24"/>
          <w:lang w:eastAsia="en-GB"/>
          <w14:ligatures w14:val="none"/>
        </w:rPr>
      </w:pPr>
      <w:r w:rsidRPr="004F04C0">
        <w:rPr>
          <w:rFonts w:ascii="Arial" w:eastAsia="Times New Roman" w:hAnsi="Arial" w:cs="Arial"/>
          <w:b/>
          <w:bCs/>
          <w:color w:val="4472C4" w:themeColor="accent1"/>
          <w:kern w:val="0"/>
          <w:sz w:val="24"/>
          <w:szCs w:val="24"/>
          <w:lang w:eastAsia="en-GB"/>
          <w14:ligatures w14:val="none"/>
        </w:rPr>
        <w:t>Can PR Save British Politics?</w:t>
      </w:r>
      <w:r w:rsidRPr="004F04C0">
        <w:rPr>
          <w:rFonts w:ascii="Arial" w:eastAsia="Times New Roman" w:hAnsi="Arial" w:cs="Arial"/>
          <w:color w:val="4472C4" w:themeColor="accent1"/>
          <w:kern w:val="0"/>
          <w:sz w:val="24"/>
          <w:szCs w:val="24"/>
          <w:lang w:eastAsia="en-GB"/>
          <w14:ligatures w14:val="none"/>
        </w:rPr>
        <w:t xml:space="preserve"> </w:t>
      </w:r>
      <w:r w:rsidR="00085F52" w:rsidRPr="00085F52">
        <w:rPr>
          <w:rFonts w:ascii="Arial" w:eastAsia="Times New Roman" w:hAnsi="Arial" w:cs="Arial"/>
          <w:kern w:val="0"/>
          <w:sz w:val="24"/>
          <w:szCs w:val="24"/>
          <w:lang w:eastAsia="en-GB"/>
          <w14:ligatures w14:val="none"/>
        </w:rPr>
        <w:t>As I monitor the results of the ongoing local elections, I have a distinct feeling that the 'people' have begun to use their voice and their vote. The 'blind obedience' period is ending, and one of 'challenge' appears to be starting. The current government has moved very quickly, in political terms, in creating some currently disturbing policies. The claim that these moves are for our protection, for the good of the nation, etc, is ringing very hollow in the ears of the people.</w:t>
      </w:r>
    </w:p>
    <w:p w14:paraId="096A6A95" w14:textId="5D9FFDA8" w:rsidR="008E7337" w:rsidRDefault="00577711" w:rsidP="001130FA">
      <w:pPr>
        <w:spacing w:before="100" w:beforeAutospacing="1" w:after="100" w:afterAutospacing="1" w:line="240" w:lineRule="auto"/>
        <w:rPr>
          <w:rFonts w:ascii="Arial" w:eastAsia="Times New Roman" w:hAnsi="Arial" w:cs="Arial"/>
          <w:kern w:val="0"/>
          <w:sz w:val="24"/>
          <w:szCs w:val="24"/>
          <w:lang w:eastAsia="en-GB"/>
          <w14:ligatures w14:val="none"/>
        </w:rPr>
      </w:pPr>
      <w:r w:rsidRPr="004F04C0">
        <w:rPr>
          <w:rFonts w:ascii="Arial" w:eastAsia="Times New Roman" w:hAnsi="Arial" w:cs="Arial"/>
          <w:b/>
          <w:bCs/>
          <w:color w:val="4472C4" w:themeColor="accent1"/>
          <w:kern w:val="0"/>
          <w:sz w:val="24"/>
          <w:szCs w:val="24"/>
          <w:lang w:eastAsia="en-GB"/>
          <w14:ligatures w14:val="none"/>
        </w:rPr>
        <w:t>Renewables vs Fossil</w:t>
      </w:r>
      <w:r>
        <w:rPr>
          <w:rFonts w:ascii="Arial" w:eastAsia="Times New Roman" w:hAnsi="Arial" w:cs="Arial"/>
          <w:kern w:val="0"/>
          <w:sz w:val="24"/>
          <w:szCs w:val="24"/>
          <w:lang w:eastAsia="en-GB"/>
          <w14:ligatures w14:val="none"/>
        </w:rPr>
        <w:t xml:space="preserve">. </w:t>
      </w:r>
      <w:r w:rsidR="00306236">
        <w:rPr>
          <w:rFonts w:ascii="Arial" w:eastAsia="Times New Roman" w:hAnsi="Arial" w:cs="Arial"/>
          <w:kern w:val="0"/>
          <w:sz w:val="24"/>
          <w:szCs w:val="24"/>
          <w:lang w:eastAsia="en-GB"/>
          <w14:ligatures w14:val="none"/>
        </w:rPr>
        <w:t>A close look at the arguments from both sides of the debate.</w:t>
      </w:r>
    </w:p>
    <w:p w14:paraId="1DFB3538" w14:textId="1B96AD8A" w:rsidR="005E329E" w:rsidRPr="00F201FE" w:rsidRDefault="009F2098" w:rsidP="001130FA">
      <w:pPr>
        <w:spacing w:before="100" w:beforeAutospacing="1" w:after="100" w:afterAutospacing="1" w:line="240" w:lineRule="auto"/>
        <w:rPr>
          <w:rFonts w:ascii="Arial" w:eastAsia="Times New Roman" w:hAnsi="Arial" w:cs="Arial"/>
          <w:kern w:val="0"/>
          <w:sz w:val="24"/>
          <w:szCs w:val="24"/>
          <w:lang w:eastAsia="en-GB"/>
          <w14:ligatures w14:val="none"/>
        </w:rPr>
      </w:pPr>
      <w:r w:rsidRPr="004F04C0">
        <w:rPr>
          <w:rFonts w:ascii="Arial" w:eastAsia="Times New Roman" w:hAnsi="Arial" w:cs="Arial"/>
          <w:b/>
          <w:bCs/>
          <w:color w:val="4472C4" w:themeColor="accent1"/>
          <w:kern w:val="0"/>
          <w:sz w:val="24"/>
          <w:szCs w:val="24"/>
          <w:lang w:eastAsia="en-GB"/>
          <w14:ligatures w14:val="none"/>
        </w:rPr>
        <w:lastRenderedPageBreak/>
        <w:t>The End of the Ideological Labs</w:t>
      </w:r>
      <w:r w:rsidRPr="004F04C0">
        <w:rPr>
          <w:rFonts w:ascii="Arial" w:eastAsia="Times New Roman" w:hAnsi="Arial" w:cs="Arial"/>
          <w:color w:val="4472C4" w:themeColor="accent1"/>
          <w:kern w:val="0"/>
          <w:sz w:val="24"/>
          <w:szCs w:val="24"/>
          <w:lang w:eastAsia="en-GB"/>
          <w14:ligatures w14:val="none"/>
        </w:rPr>
        <w:t xml:space="preserve">. </w:t>
      </w:r>
      <w:r w:rsidRPr="009F2098">
        <w:rPr>
          <w:rFonts w:ascii="Arial" w:eastAsia="Times New Roman" w:hAnsi="Arial" w:cs="Arial"/>
          <w:kern w:val="0"/>
          <w:sz w:val="24"/>
          <w:szCs w:val="24"/>
          <w:lang w:eastAsia="en-GB"/>
          <w14:ligatures w14:val="none"/>
        </w:rPr>
        <w:t>I have examined the video "This has gone too far" by Blackbelt Barrister, which discusses recent guidance issued to nurseries and childcare providers in Wales regarding the reporting of "racist incidents" involving young children.</w:t>
      </w:r>
    </w:p>
    <w:p w14:paraId="3D8D4157" w14:textId="73BE034D" w:rsidR="004E549C" w:rsidRDefault="00C238C9" w:rsidP="00324C17">
      <w:pPr>
        <w:rPr>
          <w:rFonts w:ascii="Arial" w:hAnsi="Arial" w:cs="Arial"/>
          <w:sz w:val="24"/>
          <w:szCs w:val="24"/>
        </w:rPr>
      </w:pPr>
      <w:r w:rsidRPr="00324C17">
        <w:rPr>
          <w:rFonts w:ascii="Arial" w:hAnsi="Arial" w:cs="Arial"/>
          <w:b/>
          <w:bCs/>
          <w:color w:val="0070C0"/>
          <w:sz w:val="24"/>
          <w:szCs w:val="24"/>
        </w:rPr>
        <w:t xml:space="preserve">Civic </w:t>
      </w:r>
      <w:r w:rsidR="00604854" w:rsidRPr="00324C17">
        <w:rPr>
          <w:rFonts w:ascii="Arial" w:hAnsi="Arial" w:cs="Arial"/>
          <w:b/>
          <w:bCs/>
          <w:color w:val="0070C0"/>
          <w:sz w:val="24"/>
          <w:szCs w:val="24"/>
        </w:rPr>
        <w:t xml:space="preserve">Standards, </w:t>
      </w:r>
      <w:r w:rsidR="00324C17" w:rsidRPr="00324C17">
        <w:rPr>
          <w:rFonts w:ascii="Arial" w:hAnsi="Arial" w:cs="Arial"/>
          <w:b/>
          <w:bCs/>
          <w:color w:val="0070C0"/>
          <w:sz w:val="24"/>
          <w:szCs w:val="24"/>
        </w:rPr>
        <w:t>Religious Tolerance, Civic Boundaries, and Shared Standards</w:t>
      </w:r>
      <w:r w:rsidR="00E83717">
        <w:rPr>
          <w:rFonts w:ascii="Arial" w:hAnsi="Arial" w:cs="Arial"/>
          <w:b/>
          <w:bCs/>
          <w:color w:val="0070C0"/>
          <w:sz w:val="24"/>
          <w:szCs w:val="24"/>
        </w:rPr>
        <w:t>.</w:t>
      </w:r>
      <w:r w:rsidR="006043D3">
        <w:rPr>
          <w:rFonts w:ascii="Arial" w:hAnsi="Arial" w:cs="Arial"/>
          <w:b/>
          <w:bCs/>
          <w:color w:val="0070C0"/>
          <w:sz w:val="24"/>
          <w:szCs w:val="24"/>
        </w:rPr>
        <w:t xml:space="preserve"> </w:t>
      </w:r>
      <w:r w:rsidR="006043D3" w:rsidRPr="006043D3">
        <w:rPr>
          <w:rFonts w:ascii="Arial" w:hAnsi="Arial" w:cs="Arial"/>
          <w:sz w:val="24"/>
          <w:szCs w:val="24"/>
        </w:rPr>
        <w:t>Recent public debate surrounding the use of religious exemptions in the United Kingdom has reignited broader questions regarding multiculturalism, public confidence, civic integration, and the boundaries of tolerance within a liberal democracy.</w:t>
      </w:r>
    </w:p>
    <w:p w14:paraId="78690090" w14:textId="730B7B62" w:rsidR="006043D3" w:rsidRDefault="007F7175" w:rsidP="00324C17">
      <w:pPr>
        <w:rPr>
          <w:rFonts w:ascii="Arial" w:hAnsi="Arial" w:cs="Arial"/>
          <w:sz w:val="24"/>
          <w:szCs w:val="24"/>
        </w:rPr>
      </w:pPr>
      <w:r w:rsidRPr="007F7175">
        <w:rPr>
          <w:rFonts w:ascii="Arial" w:hAnsi="Arial" w:cs="Arial"/>
          <w:b/>
          <w:bCs/>
          <w:color w:val="0070C0"/>
          <w:sz w:val="24"/>
          <w:szCs w:val="24"/>
        </w:rPr>
        <w:t xml:space="preserve">The Halal Question. Is It Fair </w:t>
      </w:r>
      <w:proofErr w:type="gramStart"/>
      <w:r w:rsidRPr="007F7175">
        <w:rPr>
          <w:rFonts w:ascii="Arial" w:hAnsi="Arial" w:cs="Arial"/>
          <w:b/>
          <w:bCs/>
          <w:color w:val="0070C0"/>
          <w:sz w:val="24"/>
          <w:szCs w:val="24"/>
        </w:rPr>
        <w:t>To</w:t>
      </w:r>
      <w:proofErr w:type="gramEnd"/>
      <w:r w:rsidRPr="007F7175">
        <w:rPr>
          <w:rFonts w:ascii="Arial" w:hAnsi="Arial" w:cs="Arial"/>
          <w:b/>
          <w:bCs/>
          <w:color w:val="0070C0"/>
          <w:sz w:val="24"/>
          <w:szCs w:val="24"/>
        </w:rPr>
        <w:t xml:space="preserve"> Impose Halal Meat </w:t>
      </w:r>
      <w:proofErr w:type="gramStart"/>
      <w:r w:rsidRPr="007F7175">
        <w:rPr>
          <w:rFonts w:ascii="Arial" w:hAnsi="Arial" w:cs="Arial"/>
          <w:b/>
          <w:bCs/>
          <w:color w:val="0070C0"/>
          <w:sz w:val="24"/>
          <w:szCs w:val="24"/>
        </w:rPr>
        <w:t>Onto</w:t>
      </w:r>
      <w:proofErr w:type="gramEnd"/>
      <w:r w:rsidRPr="007F7175">
        <w:rPr>
          <w:rFonts w:ascii="Arial" w:hAnsi="Arial" w:cs="Arial"/>
          <w:b/>
          <w:bCs/>
          <w:color w:val="0070C0"/>
          <w:sz w:val="24"/>
          <w:szCs w:val="24"/>
        </w:rPr>
        <w:t xml:space="preserve"> Everyone?</w:t>
      </w:r>
      <w:r w:rsidR="00616422">
        <w:rPr>
          <w:rFonts w:ascii="Arial" w:hAnsi="Arial" w:cs="Arial"/>
          <w:b/>
          <w:bCs/>
          <w:color w:val="0070C0"/>
          <w:sz w:val="24"/>
          <w:szCs w:val="24"/>
        </w:rPr>
        <w:t xml:space="preserve"> </w:t>
      </w:r>
      <w:r w:rsidR="004E3991" w:rsidRPr="00FF7D92">
        <w:rPr>
          <w:rFonts w:ascii="Arial" w:hAnsi="Arial" w:cs="Arial"/>
          <w:sz w:val="24"/>
          <w:szCs w:val="24"/>
        </w:rPr>
        <w:t>T</w:t>
      </w:r>
      <w:r w:rsidR="00F65C4D">
        <w:rPr>
          <w:rFonts w:ascii="Arial" w:hAnsi="Arial" w:cs="Arial"/>
          <w:sz w:val="24"/>
          <w:szCs w:val="24"/>
        </w:rPr>
        <w:t xml:space="preserve">his paper offers a workable, </w:t>
      </w:r>
      <w:r w:rsidR="00FF7D92">
        <w:rPr>
          <w:rFonts w:ascii="Arial" w:hAnsi="Arial" w:cs="Arial"/>
          <w:sz w:val="24"/>
          <w:szCs w:val="24"/>
        </w:rPr>
        <w:t>cost-effective</w:t>
      </w:r>
      <w:r w:rsidR="00F65C4D">
        <w:rPr>
          <w:rFonts w:ascii="Arial" w:hAnsi="Arial" w:cs="Arial"/>
          <w:sz w:val="24"/>
          <w:szCs w:val="24"/>
        </w:rPr>
        <w:t xml:space="preserve"> mechanism for </w:t>
      </w:r>
      <w:r w:rsidR="00FF7D92">
        <w:rPr>
          <w:rFonts w:ascii="Arial" w:hAnsi="Arial" w:cs="Arial"/>
          <w:sz w:val="24"/>
          <w:szCs w:val="24"/>
        </w:rPr>
        <w:t>removing halal products from the mainstream food chain.</w:t>
      </w:r>
    </w:p>
    <w:p w14:paraId="5D3EBEC4" w14:textId="2A675BB9" w:rsidR="00E31256" w:rsidRDefault="004C6F78" w:rsidP="00324C17">
      <w:pPr>
        <w:rPr>
          <w:rFonts w:ascii="Arial" w:hAnsi="Arial" w:cs="Arial"/>
          <w:sz w:val="24"/>
          <w:szCs w:val="24"/>
        </w:rPr>
      </w:pPr>
      <w:r w:rsidRPr="004C6F78">
        <w:rPr>
          <w:rFonts w:ascii="Arial" w:hAnsi="Arial" w:cs="Arial"/>
          <w:b/>
          <w:bCs/>
          <w:color w:val="0070C0"/>
          <w:sz w:val="24"/>
          <w:szCs w:val="24"/>
        </w:rPr>
        <w:t>The Price of Perfection: Artificial Intelligence, Freedom, and the New Social Contract</w:t>
      </w:r>
      <w:r>
        <w:rPr>
          <w:rFonts w:ascii="Arial" w:hAnsi="Arial" w:cs="Arial"/>
          <w:b/>
          <w:bCs/>
          <w:color w:val="0070C0"/>
          <w:sz w:val="24"/>
          <w:szCs w:val="24"/>
        </w:rPr>
        <w:t xml:space="preserve">. </w:t>
      </w:r>
      <w:r w:rsidR="009838DC">
        <w:rPr>
          <w:rFonts w:ascii="Arial" w:hAnsi="Arial" w:cs="Arial"/>
          <w:sz w:val="24"/>
          <w:szCs w:val="24"/>
        </w:rPr>
        <w:t xml:space="preserve">What </w:t>
      </w:r>
      <w:r w:rsidR="00575E61">
        <w:rPr>
          <w:rFonts w:ascii="Arial" w:hAnsi="Arial" w:cs="Arial"/>
          <w:sz w:val="24"/>
          <w:szCs w:val="24"/>
        </w:rPr>
        <w:t xml:space="preserve">price should we pay for the benefits of </w:t>
      </w:r>
      <w:r w:rsidR="003A47C5">
        <w:rPr>
          <w:rFonts w:ascii="Arial" w:hAnsi="Arial" w:cs="Arial"/>
          <w:sz w:val="24"/>
          <w:szCs w:val="24"/>
        </w:rPr>
        <w:t>AI</w:t>
      </w:r>
      <w:r w:rsidR="00575E61">
        <w:rPr>
          <w:rFonts w:ascii="Arial" w:hAnsi="Arial" w:cs="Arial"/>
          <w:sz w:val="24"/>
          <w:szCs w:val="24"/>
        </w:rPr>
        <w:t xml:space="preserve">? Is </w:t>
      </w:r>
      <w:r w:rsidR="003A47C5">
        <w:rPr>
          <w:rFonts w:ascii="Arial" w:hAnsi="Arial" w:cs="Arial"/>
          <w:sz w:val="24"/>
          <w:szCs w:val="24"/>
        </w:rPr>
        <w:t>AI</w:t>
      </w:r>
      <w:r w:rsidR="00575E61">
        <w:rPr>
          <w:rFonts w:ascii="Arial" w:hAnsi="Arial" w:cs="Arial"/>
          <w:sz w:val="24"/>
          <w:szCs w:val="24"/>
        </w:rPr>
        <w:t xml:space="preserve"> worth the investment? Is </w:t>
      </w:r>
      <w:r w:rsidR="003A47C5">
        <w:rPr>
          <w:rFonts w:ascii="Arial" w:hAnsi="Arial" w:cs="Arial"/>
          <w:sz w:val="24"/>
          <w:szCs w:val="24"/>
        </w:rPr>
        <w:t>AI</w:t>
      </w:r>
      <w:r w:rsidR="00575E61">
        <w:rPr>
          <w:rFonts w:ascii="Arial" w:hAnsi="Arial" w:cs="Arial"/>
          <w:sz w:val="24"/>
          <w:szCs w:val="24"/>
        </w:rPr>
        <w:t xml:space="preserve"> dangerous</w:t>
      </w:r>
      <w:r w:rsidR="003A47C5">
        <w:rPr>
          <w:rFonts w:ascii="Arial" w:hAnsi="Arial" w:cs="Arial"/>
          <w:sz w:val="24"/>
          <w:szCs w:val="24"/>
        </w:rPr>
        <w:t>, OT is it still the person in charge of the system who needs controlling?</w:t>
      </w:r>
    </w:p>
    <w:p w14:paraId="77E5F23A" w14:textId="6CF9E9A4" w:rsidR="003A47C5" w:rsidRDefault="00F23EEB" w:rsidP="00324C17">
      <w:pPr>
        <w:rPr>
          <w:rFonts w:ascii="Arial" w:hAnsi="Arial" w:cs="Arial"/>
          <w:sz w:val="24"/>
          <w:szCs w:val="24"/>
        </w:rPr>
      </w:pPr>
      <w:r w:rsidRPr="00F23EEB">
        <w:rPr>
          <w:rFonts w:ascii="Arial" w:hAnsi="Arial" w:cs="Arial"/>
          <w:b/>
          <w:bCs/>
          <w:color w:val="0070C0"/>
          <w:sz w:val="24"/>
          <w:szCs w:val="24"/>
        </w:rPr>
        <w:t>Is Britain’s Political System Still Fit for Purpose?</w:t>
      </w:r>
      <w:r>
        <w:rPr>
          <w:rFonts w:ascii="Arial" w:hAnsi="Arial" w:cs="Arial"/>
          <w:b/>
          <w:bCs/>
          <w:color w:val="0070C0"/>
          <w:sz w:val="24"/>
          <w:szCs w:val="24"/>
        </w:rPr>
        <w:t xml:space="preserve"> </w:t>
      </w:r>
      <w:r w:rsidR="003F0226" w:rsidRPr="003F0226">
        <w:rPr>
          <w:rFonts w:ascii="Arial" w:hAnsi="Arial" w:cs="Arial"/>
          <w:sz w:val="24"/>
          <w:szCs w:val="24"/>
        </w:rPr>
        <w:t xml:space="preserve">This paper examines whether elements of the United Kingdom’s current electoral and parliamentary structures may unintentionally contribute to </w:t>
      </w:r>
      <w:r w:rsidR="007827C0">
        <w:rPr>
          <w:rFonts w:ascii="Arial" w:hAnsi="Arial" w:cs="Arial"/>
          <w:sz w:val="24"/>
          <w:szCs w:val="24"/>
        </w:rPr>
        <w:t>unstable</w:t>
      </w:r>
      <w:r w:rsidR="003F0226" w:rsidRPr="003F0226">
        <w:rPr>
          <w:rFonts w:ascii="Arial" w:hAnsi="Arial" w:cs="Arial"/>
          <w:sz w:val="24"/>
          <w:szCs w:val="24"/>
        </w:rPr>
        <w:t xml:space="preserve"> conditions. In particular, it explores whether the traditional First-Past-the-Post (FPTP) model, designed during a more stable two-party era, remains fully suited to the realities of an increasingly fragmented multi-</w:t>
      </w:r>
      <w:r w:rsidR="00C64784" w:rsidRPr="003F0226">
        <w:rPr>
          <w:rFonts w:ascii="Arial" w:hAnsi="Arial" w:cs="Arial"/>
          <w:sz w:val="24"/>
          <w:szCs w:val="24"/>
        </w:rPr>
        <w:t>party-political</w:t>
      </w:r>
      <w:r w:rsidR="003F0226" w:rsidRPr="003F0226">
        <w:rPr>
          <w:rFonts w:ascii="Arial" w:hAnsi="Arial" w:cs="Arial"/>
          <w:sz w:val="24"/>
          <w:szCs w:val="24"/>
        </w:rPr>
        <w:t xml:space="preserve"> landscape.</w:t>
      </w:r>
    </w:p>
    <w:p w14:paraId="18749B30" w14:textId="77777777" w:rsidR="007827C0" w:rsidRPr="003F0226" w:rsidRDefault="007827C0" w:rsidP="00324C17">
      <w:pPr>
        <w:rPr>
          <w:rFonts w:ascii="Arial" w:hAnsi="Arial" w:cs="Arial"/>
          <w:sz w:val="24"/>
          <w:szCs w:val="24"/>
        </w:rPr>
      </w:pPr>
    </w:p>
    <w:p w14:paraId="070D5A39" w14:textId="77777777" w:rsidR="00C402E9" w:rsidRPr="00324C17" w:rsidRDefault="00C402E9" w:rsidP="00C402E9">
      <w:pPr>
        <w:rPr>
          <w:rFonts w:ascii="Arial" w:hAnsi="Arial" w:cs="Arial"/>
          <w:sz w:val="24"/>
          <w:szCs w:val="24"/>
        </w:rPr>
      </w:pPr>
    </w:p>
    <w:sectPr w:rsidR="00C402E9" w:rsidRPr="00324C17">
      <w:foot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24EB8A" w14:textId="77777777" w:rsidR="00587B22" w:rsidRDefault="00587B22" w:rsidP="007007A3">
      <w:pPr>
        <w:spacing w:after="0" w:line="240" w:lineRule="auto"/>
      </w:pPr>
      <w:r>
        <w:separator/>
      </w:r>
    </w:p>
  </w:endnote>
  <w:endnote w:type="continuationSeparator" w:id="0">
    <w:p w14:paraId="3CC2AF27" w14:textId="77777777" w:rsidR="00587B22" w:rsidRDefault="00587B22" w:rsidP="007007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9583507"/>
      <w:docPartObj>
        <w:docPartGallery w:val="Page Numbers (Bottom of Page)"/>
        <w:docPartUnique/>
      </w:docPartObj>
    </w:sdtPr>
    <w:sdtEndPr>
      <w:rPr>
        <w:noProof/>
      </w:rPr>
    </w:sdtEndPr>
    <w:sdtContent>
      <w:p w14:paraId="3367A39C" w14:textId="51096963" w:rsidR="007007A3" w:rsidRDefault="007007A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F8DC9EF" w14:textId="77777777" w:rsidR="007007A3" w:rsidRDefault="007007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143317" w14:textId="77777777" w:rsidR="00587B22" w:rsidRDefault="00587B22" w:rsidP="007007A3">
      <w:pPr>
        <w:spacing w:after="0" w:line="240" w:lineRule="auto"/>
      </w:pPr>
      <w:r>
        <w:separator/>
      </w:r>
    </w:p>
  </w:footnote>
  <w:footnote w:type="continuationSeparator" w:id="0">
    <w:p w14:paraId="0004CB46" w14:textId="77777777" w:rsidR="00587B22" w:rsidRDefault="00587B22" w:rsidP="007007A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2E9"/>
    <w:rsid w:val="00085F52"/>
    <w:rsid w:val="001130FA"/>
    <w:rsid w:val="00197040"/>
    <w:rsid w:val="002F6451"/>
    <w:rsid w:val="00306236"/>
    <w:rsid w:val="00324C17"/>
    <w:rsid w:val="00340E1A"/>
    <w:rsid w:val="0036766E"/>
    <w:rsid w:val="003A47C5"/>
    <w:rsid w:val="003F0226"/>
    <w:rsid w:val="0048485D"/>
    <w:rsid w:val="004B2739"/>
    <w:rsid w:val="004C6F78"/>
    <w:rsid w:val="004E3991"/>
    <w:rsid w:val="004E549C"/>
    <w:rsid w:val="004F04C0"/>
    <w:rsid w:val="00575E61"/>
    <w:rsid w:val="00577711"/>
    <w:rsid w:val="00587B22"/>
    <w:rsid w:val="005E329E"/>
    <w:rsid w:val="006043D3"/>
    <w:rsid w:val="00604854"/>
    <w:rsid w:val="00616422"/>
    <w:rsid w:val="006430F4"/>
    <w:rsid w:val="006B1DE6"/>
    <w:rsid w:val="007007A3"/>
    <w:rsid w:val="00747756"/>
    <w:rsid w:val="007827C0"/>
    <w:rsid w:val="007B34AB"/>
    <w:rsid w:val="007F7175"/>
    <w:rsid w:val="00884561"/>
    <w:rsid w:val="00887BD5"/>
    <w:rsid w:val="008E7337"/>
    <w:rsid w:val="00954574"/>
    <w:rsid w:val="009838DC"/>
    <w:rsid w:val="009F2098"/>
    <w:rsid w:val="00B340AB"/>
    <w:rsid w:val="00C238C9"/>
    <w:rsid w:val="00C402E9"/>
    <w:rsid w:val="00C41897"/>
    <w:rsid w:val="00C64784"/>
    <w:rsid w:val="00C7135B"/>
    <w:rsid w:val="00CB7E15"/>
    <w:rsid w:val="00D1283B"/>
    <w:rsid w:val="00D5738E"/>
    <w:rsid w:val="00E31256"/>
    <w:rsid w:val="00E43B05"/>
    <w:rsid w:val="00E83717"/>
    <w:rsid w:val="00E91E67"/>
    <w:rsid w:val="00EA027A"/>
    <w:rsid w:val="00F23EEB"/>
    <w:rsid w:val="00F65C4D"/>
    <w:rsid w:val="00FF18D4"/>
    <w:rsid w:val="00FF7D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A522A"/>
  <w15:chartTrackingRefBased/>
  <w15:docId w15:val="{508B7B09-56C4-4036-8CC5-FE17D2047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02E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402E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402E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402E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402E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402E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02E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02E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02E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02E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402E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402E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402E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402E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402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02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02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02E9"/>
    <w:rPr>
      <w:rFonts w:eastAsiaTheme="majorEastAsia" w:cstheme="majorBidi"/>
      <w:color w:val="272727" w:themeColor="text1" w:themeTint="D8"/>
    </w:rPr>
  </w:style>
  <w:style w:type="paragraph" w:styleId="Title">
    <w:name w:val="Title"/>
    <w:basedOn w:val="Normal"/>
    <w:next w:val="Normal"/>
    <w:link w:val="TitleChar"/>
    <w:uiPriority w:val="10"/>
    <w:qFormat/>
    <w:rsid w:val="00C402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02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02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02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02E9"/>
    <w:pPr>
      <w:spacing w:before="160"/>
      <w:jc w:val="center"/>
    </w:pPr>
    <w:rPr>
      <w:i/>
      <w:iCs/>
      <w:color w:val="404040" w:themeColor="text1" w:themeTint="BF"/>
    </w:rPr>
  </w:style>
  <w:style w:type="character" w:customStyle="1" w:styleId="QuoteChar">
    <w:name w:val="Quote Char"/>
    <w:basedOn w:val="DefaultParagraphFont"/>
    <w:link w:val="Quote"/>
    <w:uiPriority w:val="29"/>
    <w:rsid w:val="00C402E9"/>
    <w:rPr>
      <w:i/>
      <w:iCs/>
      <w:color w:val="404040" w:themeColor="text1" w:themeTint="BF"/>
    </w:rPr>
  </w:style>
  <w:style w:type="paragraph" w:styleId="ListParagraph">
    <w:name w:val="List Paragraph"/>
    <w:basedOn w:val="Normal"/>
    <w:uiPriority w:val="34"/>
    <w:qFormat/>
    <w:rsid w:val="00C402E9"/>
    <w:pPr>
      <w:ind w:left="720"/>
      <w:contextualSpacing/>
    </w:pPr>
  </w:style>
  <w:style w:type="character" w:styleId="IntenseEmphasis">
    <w:name w:val="Intense Emphasis"/>
    <w:basedOn w:val="DefaultParagraphFont"/>
    <w:uiPriority w:val="21"/>
    <w:qFormat/>
    <w:rsid w:val="00C402E9"/>
    <w:rPr>
      <w:i/>
      <w:iCs/>
      <w:color w:val="2F5496" w:themeColor="accent1" w:themeShade="BF"/>
    </w:rPr>
  </w:style>
  <w:style w:type="paragraph" w:styleId="IntenseQuote">
    <w:name w:val="Intense Quote"/>
    <w:basedOn w:val="Normal"/>
    <w:next w:val="Normal"/>
    <w:link w:val="IntenseQuoteChar"/>
    <w:uiPriority w:val="30"/>
    <w:qFormat/>
    <w:rsid w:val="00C402E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402E9"/>
    <w:rPr>
      <w:i/>
      <w:iCs/>
      <w:color w:val="2F5496" w:themeColor="accent1" w:themeShade="BF"/>
    </w:rPr>
  </w:style>
  <w:style w:type="character" w:styleId="IntenseReference">
    <w:name w:val="Intense Reference"/>
    <w:basedOn w:val="DefaultParagraphFont"/>
    <w:uiPriority w:val="32"/>
    <w:qFormat/>
    <w:rsid w:val="00C402E9"/>
    <w:rPr>
      <w:b/>
      <w:bCs/>
      <w:smallCaps/>
      <w:color w:val="2F5496" w:themeColor="accent1" w:themeShade="BF"/>
      <w:spacing w:val="5"/>
    </w:rPr>
  </w:style>
  <w:style w:type="paragraph" w:styleId="Header">
    <w:name w:val="header"/>
    <w:basedOn w:val="Normal"/>
    <w:link w:val="HeaderChar"/>
    <w:uiPriority w:val="99"/>
    <w:unhideWhenUsed/>
    <w:rsid w:val="007007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07A3"/>
  </w:style>
  <w:style w:type="paragraph" w:styleId="Footer">
    <w:name w:val="footer"/>
    <w:basedOn w:val="Normal"/>
    <w:link w:val="FooterChar"/>
    <w:uiPriority w:val="99"/>
    <w:unhideWhenUsed/>
    <w:rsid w:val="007007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07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3200</Words>
  <Characters>18246</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Shipley</dc:creator>
  <cp:keywords/>
  <dc:description/>
  <cp:lastModifiedBy>Paul Shipley</cp:lastModifiedBy>
  <cp:revision>10</cp:revision>
  <dcterms:created xsi:type="dcterms:W3CDTF">2026-06-01T09:02:00Z</dcterms:created>
  <dcterms:modified xsi:type="dcterms:W3CDTF">2026-06-01T17:06:00Z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1b1ec69b-c9be-41de-88d3-b6b29f95e169</vt:lpwstr>
  </property>
</Properties>
</file>